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55b" w14:textId="2553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сәуірдегі № 198 "Біржолғы талондар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2010 жылғы 20 қазандағы № 348 шешімі. Қостанай облысы Қостанай қаласының Әділет басқармасында 2010 жылғы 9 қарашада № 9-1-154 тіркелді. Күші жойылды - Қостанай облысы Қостанай қаласы мәслихатының 2013 жылғы 22 қаңтардағы № 106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мәслихатының 2013.01.22 № 106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талондар құнын белгілеу туралы" мәслихаттың 2009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9-1-128 тіркелген, 2009 жылдың 16 маусымында "Қостанай"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4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А.Айдосов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Бексейітов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