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fe80" w14:textId="8f4f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 құнын белгілеу туралы" Жалағаш аудандық мәслихатының 2010 жылғы 7 сәуірдегі N 29-2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2010 жылғы 24 желтоқсандағы N 37-5 шешімі. Қызылорда облысының Әділет департаменті Жалағаш аудандық Әділет басқармасында 2011 жылы 25 қаңтарда N 10-6-178 тіркелді. Шешімнің қабылдау мерзімінің өтуіне байланысты қолдану тоқтатылды (Қызылорда облысы Жалағаш аудандық мәслихатының 2013 жылғы 31 қаңтардағы N 331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31.01.2013  N 331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 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кедендік реттеу және салық салу мәселелері бойынша өзгерістер мен толықтырулар енгізу туралы" Қазақстан Республикасының 2010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 құнын белгілеу туралы" Жалағаш аудандық мәслихатының 2010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N 29-2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10-6-151 болып енгізілген, "Жалағаш Жаршысы" газетінің 2010 жылғы 12 мамырдағы N 39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Жалағаш ауданы бойынша қызметті дүркін-дүркін сипатта болып, қызметінің жекелеген түрлерін (стационарлық үй-жайда жүзеге асырылатын қызметтерді қоспағанда) жүзеге асыратын Қазақстан Республикасының азаматтары мен оралмандар үшін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Жалағаш ауданы бойынша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"Жалағаш ауданы бойынша қызметті дүркін-дүркін сипатта болып, қызметінің жекелеген түрлерін (стационарлық үй-жайда жүзеге асырылатын қызметтерді қоспағанда) жүзеге асыратын Қазақстан Республикасының азаматтары мен оралмандар үшін біржолғы талон құны"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кестедегі "Кәсіпкерлік қызмет түрі" деген бағандағы реттік саны 9-жолдағы "бағуды" деген сөз "бағу" деген сөзбен ауыстырылып, "жүзеге асыратын жеке тұлғалар"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"Жалағаш ауданы бойынша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 құны".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XХХVІІ-сессиясының төрағасы               А. АБЖАЛЕЛОВ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Жалағаш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бастығы__________ Қ.Сүлейменов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"24" желтоқсан 2010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