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fa61" w14:textId="863f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аудан көлемінде қоғамдық жұмысқа тартуға сотты болған азаматтар тартылатын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2010 жылғы 11 қаңтардағы N 4 қаулысы. Қызылорда облысының Әділет департаменті Арал аудандық Әділет басқармасында 2010 жылы 08 ақпанда N 10-3-151 тіркелді. Күші жойылды - Қызылорда облысы Арал ауданы әкімдігінің 2011 жылғы 01 наурыздағы N 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Арал ауданы әкімдігінің 2011.03.01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16 шілдедегі N 167 санды Қазақстан Республикасының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көлемінде соттың шешімімен "Қоғамдық жұмысқа тарту" түріндегі жазаға сотты болған азаматтар тартылатын қоғамдық жұмыстардың түрлерін бекіту мақсатында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көлемінде қоғамдық жұмысқа тартуға сотты болған азаматтар тартылатын қоғамдық жұмыстардың түрлері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 ауданы әкімідігінің 2009 жылғы 9 ақпандағы "2009 жылы аудан көлемінде қоғамдық жұмысқа тартуға сотты болған азаматтар тартылатын қоғамдық жұмыстардың түрлерін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N 10-3-132 нөмерімен 2009 жылғы 11 наурызында тіркелген, аудандық "Толқын" газетінің 2009 жылғы 14 наурыздағы N 20 санында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Б.Дабыловқа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  күнтізбелік 10 күн өткен соң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Н.Мұсабаев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 аудандық қылмыстық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маман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___________С. Сейталиев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 қаңтар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қаулысына 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аудан көлемінде қоғамдық жұмысқа тартуға сотты болған азаматтар тартылатын қоғамдық жұмыстардың түрлері: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Тазалық жұмыстары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Көркейту-көгалдандыру жұмыстары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