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a826" w14:textId="aaaa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кәсіпкерлік қызметтің жекелеген түрлеріне арналған жиынтық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2010 жылғы 26 қаңтардағы N 222 шешімі. Қарағанды облысы Осакаров ауданының Әділет басқармасында 2010 жылғы 03 ақпанда N 8-15-117 тіркелді. Мерзімінің өтуіне байланысты қолданылуы тоқтатылды (Қарағанды облысы Осакаров аудандық мәслихаты аппаратының 2011 жылғы 20 сәуірдегі N 2-35/86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аудандық мәслихаты аппаратының 2011.04.20 N 2-35/86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422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2010 жылға кәсіпкерлік қызметтің жекелеген түрлеріне арналған жиынтық салық ставкаларын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орындалуына бақылау жасау аудандық мәслихаттың ауданның бюджеттік саясаты мен әлеуметтік–экономикалық дамуы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Қ. Саққұлақов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27 сессиясының N 222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жылға кәсіпкерлік қызметтің </w:t>
      </w:r>
      <w:r>
        <w:rPr>
          <w:rFonts w:ascii="Times New Roman"/>
          <w:b/>
          <w:i w:val="false"/>
          <w:color w:val="000080"/>
          <w:sz w:val="28"/>
        </w:rPr>
        <w:t>жекелеген түрлеріне арналған жиынтық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715"/>
        <w:gridCol w:w="6288"/>
      </w:tblGrid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айдың тіркелген жиынтық салық ставкасы АЕК* 1 айда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ақшасыз ұтыс ойын автоматы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ақшасыз ұтыс ойын автоматы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*АЕК–айлық есептеу көрсеткіші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