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497d" w14:textId="1934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2010 жылғы 13 қыркүйектегі N 18/02 қаулысы. Қарағанды облысы Нұра ауданының Әділет басқармасында 2010 жылғы 1 қазанда N 8-14-127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N 960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жылы қазан-желтоқсанында азаматтарды мерзімді әскери қызметке шақыруды өткізу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қазан-желтоқсанында шақыруы кейінге қалдыруға немесе босатуға құқығы жоқ 18 ден 27 жасқа дейінгі азаматтардың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шақыру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Ауыл және кент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2010 жылы мерзімді әскери қызметке шақыруға жататын 1983-1992 жылдары туған азаматтарды қорғаныс істер жөніндегі бөлімінің тізбесі бойынша шақыру учаскесіне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әскерге шақырылғандарды шақыру комиссиясынан өткізу және жіберу үшін жеткізуін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Нұра ауданының қорғаныс істер жөніндегі бөлімі (Қайролла Шәріпұлы Жолболдин - келісім бойынша) әскерге шақыру мәселелері бойынша қажетті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Аудандық медициналық бірлестігі (Мұқышева Бахыткүл Қабылхамитқызы - келісім бойынша) аудандық шақыру комиссиясын шақыру мерзіміне маман-дәрігерлермен, орта медициналық персоналмен жиынтықтасын, кабинеттерді медициналық құрал-жабдықтармен және аспаптармен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Нұра ауданы бойынша санитарлық-эпидемиологиялық қадағалау басқармасы (Гүлсара Құрашқызы Досполова - келісім бойынша) шақыру учаскесінің күйіне санитарлық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Аудандық ішкі істер бөлімі (Әбілов Сайран Бөгенұлы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шақырудан жалтарғандардың іздестіруін және ұстауын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әскерге шақырылғандарды жіберу және жеткізу кезінде қоғамдық тәртіптің сақталуын, олардың шақыру комиссиясына және әскерге жіберу кезінде қорғаныс бөліміне және Қарағанды қаласының облыстық жиналыс пунктіне дейін ере жүруін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Г.Қ. Досполова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қыркүйек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Б.Қ. Мұқышева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қыркүйек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қыркүйек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С.Б. Абілов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 қыркүйек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Қайролла       -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Шәріпұлы                   Нұра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істер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  -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        Фанауивич                  орынбасары,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аппаратының азаматтық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Девайкина Елена          -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Владимировна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   - Нұра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      Викторович 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Балтабаева Зинат         -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Байбекқызы                 бірлестігінің терапевт-дәрігері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