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4a8" w14:textId="ba4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Парковый тұйық көшесінің атын өзгерту және оған Ж. Төлендиновтің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Балқаш қалалық әкімдігінің 2010 жылғы 21 қазандағы N 35/02 қаулысы және Балқаш қалалық мәслихатының 2010 жылғы 24 желтоқсандағы 39/306 шешімі. Қарағанды облысы Балқаш қаласының Әділет басқармасында 2011 жылғы 14 қаңтарда N 8-4-214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негізінде, Парковый тұйық көшесі тұрғындарының пікірлерін ескеріп, Қазақстан Республикасының еңбек сіңірген мәдениет қызметкері, Балқаш қаласының Құрметті азаматы Төлендинов Жазбек Сәтімбекұлының зор еңбегін ескере отырып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Парковый тұйық көшесінің аты өзгертілсін және оған Ж. Төлендиновтың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бірлескен қаулының және шешімнің орындалуын бақылау қала әкімінің орынбасары М.С. Жарылғапқа және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бірлескен қаулы және шешім алғашқы рет ресми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