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a9a0" w14:textId="736a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мәслихаттың 2008 жылғы 1 наурыздағы 8 сессиясының N 8/6 "Теміртау қаласы мен Ақтау кентінде жасыл көшеттер егу, оларды қорғау және күту Қағидасын бекіту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2010 жылғы 21 мамырдағы N 29/4 шешімі. Қарағанды облысы Теміртау қаласының Әділет басқармасында 2010 жылғы 10 маусымда N 8-3-105 тіркелді. Күші жойылды - Қарағанды облысы Теміртау қалалық мәслихатының 2012 жылғы 5 маусымдағы N 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Теміртау қалалық мәслихатының 2012.06.05 N 4/4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заңнамаларына сәйкес келтіру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Теміртау қалалық мәслихаттың 2008 жылғы 1 наурыздағы 8 сессиясының N 8/6 "Теміртау қаласы мен Ақтау кентінде жасыл көшеттер егу, оларды қорғау және күту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8-3-53 тіркелген, "Зеркало" газетінің 2008 жылғы 16 сәуірдегі N 15, "Теміртау" газетінің 2008 жылғы 17 сәуірдегі N 16 жарияланған), Теміртау қалалық мәслихаттың 2009 жылғы 26 қарашасындағы 22 сессиясының N 22/7 "Теміртау қалалық мәслихаттың 2008 жылғы 1 наурыздағы 8 сессиясының N 8/6 "Теміртау қаласы мен Ақтау кентінде жасыл көшеттер егу, оларды қорғау және күту Қағидасын бекіту туралы" шешіміне өзгерту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 мен толықтырулар енгізілген (нормативтік құқықтық актілерді мемлекеттік тіркеу Тізілімінде N 8-3-90 тіркелген, "Зеркало" газетінің 2010 жылғы 20 қаңтардағы N 3, "Теміртау" газетінің 2010 жылғы 21 қаңтардағы N 3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 әкімінің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Карлаш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25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құрылыс,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Күсенова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26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 жолдары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Есмұрзаев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24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Қожахметов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25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Асқаров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 25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