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25e4" w14:textId="9922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округіне қарасты кейбір көшелерінің атауларын өзгерту және жаңадан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Қарабұлақ кенттік округі әкімінің 2010 жылғы 12 мамырдағы N 119 шешімі. Алматы облысының Әділет департаменті Ескелді ауданының Әділет басқармасында 2010 жылы 18 маусымда N 2-9-108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Бүкіл мәтін бойынша "кенттік" деген сөздер "ауылдық" деген сөздерімен ауыстырылды – Алматы облысы Ескелді ауданы Қарабұлақ ауылдық округі әкімінің 06.01.2015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алып, Қарабұлақ ауылдық округіне қарасты, Қарабұлақ кенті және Шымыр ауыл тұрғындарының пікірлерін және Ескелді аудандық ономастика кеңесінің келісімін ескере отырып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кіріспесіне өзгеріс енгізілді – Алматы облысы Ескелді ауданы Қарабұлақ ауылдық округі әкімінің 06.01.2015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Қарабұлақ ауылдық округіне қарасты, Қарабұлақ кенті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Горький көшесі "Жетісу Шұғыласы"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Қарабұлақ ауылдық округіне қарасты, Шымыр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салынып, жаңадан пайда болған көшелерге Талдықорған және Нұра көшелері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И.С. Жаманбалин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