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f0d4" w14:textId="9b3f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елді мекендерге жұмыс істеу және тұру үшін келген мамандарына 2010 жылы көтерме жәрдемақы және бюджеттік кредит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2010 жылғы 5 ақпандағы N 152 шешімі. Ақтөбе облысының Мәртөк аудандық Әділет басқармасында 2010 жылдың 16 ақпандағы N 3-8-106 тіркелді. Күші жойылды - Ақтөбе облысы Мәртөк аудандық мәслихатының 2010 жылғы 24 желтоқсандағы № 200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Мәртөк аудандық мәслихатының 2010.12.24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№ 66 «Агроөнеркәсіптік кешенді және ауылдық аумақтарды дамытуды мемлекеттік реттеу туралы»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18 ақпандағы № 183 «Ауылдық елді мекендерге жұмыс істеу және тұру үшін келген денсаулық сақтау, білім беру, әлеуметтік қамсыздандыру, мәдениет және спорт мамандарына әлеуметтік қолдау шараларын ұсыну мөлшерін және ережесін бекіту туралы» Қаулысының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Ереженің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Мәртөк ауданына жұмыс істеу және тұру үшін келген денсаулық сақтау, білім беру, әлеуметтік қамсыздандыру, мәдениет және спорт саласындағы мамандарына 2010 жылы: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жетпіс есептік айлық есептік көрсеткішке тең сомада көтерме жәрдемақы;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тұрғын үй сатып алу үшін әлеуметтік қолдау – алты жүз отыз есептік айлық есептік көрсеткіштен аспайтын сомада бюджеттік кредит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Мамандар үшін тұрғын үй сатып алуға бюджеттік кредит он бес жыл мерзімге беріледі, кредит бойынша сыйақы ставкасы кредит сомасынан жылдық 0,01 % -ы мөлшерінде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мәслихаттың шешімі 2009 жылғы 24 шілдедегі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«Ауылдық елді мекендерге жұмыс істеу және тұру үшін келген мамандарына 2009 жылы көтерме жәрдемақы беру туралы» (Нормативтік құқықтық кесімдерді мемлекеттік тіркеу тізілімінде тіркелген нөмірі № 3-8-94, 2009 жылғы 26 тамыздағы «Мәртөк тынысы» № 38-39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Н.Әшімов                            А.Смағұлов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