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6d4e" w14:textId="db66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ақпандағы № 192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2 қазандағы № 232 шешімі. Ақтөбе облысы Қарғалы аудандық Әділет басқармасында 2010 жылғы 25 қарашада № 3-6-113 тіркелді. Күші жойылды - Ақтөбе облысы Қарғалы аудандық мәслихатының 2013 жылғы 30 сәуірдегі № 119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30.04.2013 № 11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 94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тұрғындарын әлеуметтік қорғау және қолд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Тұрғын үй көмегін көрсету Ережесін бекіту туралы» 2010 жылғы 23 ақпандағы № 192 (нормативтік-құқықтық актілерді мемлекеттік тіркеу Тізілімінде 3-6-101 нөмірімен тіркелген, 2010 жылғы 8 сәуірдегі «Қарғалы» газетінің № 24-25 жарияланған)</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бөлімі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коммуналдық қызметтерді төлеу бойынша жеңілдіктері бар тұлғалар мен тұрғын үй көмегін алушыларға аудан әкімдігі жанындағы тұрғын үй инспекциясымен келісіліп, пәтер иелері мен жалдаушыларының жалпы жиналысында бекітілген кондоминиум объектісін басқару органының мөрімен және бастығының қолымен расталған кондоминиум объектісінің жалпы меншігіне күрделі жөндеу жүмыстарын жүргізу түрлеріне шығындар сметасының негізінде кондоминиум объектісінің ортақ мүлкін күрделі жөндеу жұмыстарын жүргізуге нысаналы жарнамалар мөлшері туралы шоттар бойынша 50% мөлшерінде тұрғын үй көмегін тағайындау кезінде ғана то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С.Алмағамбетов                        Ж.Құл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