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090e" w14:textId="1180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Жақсы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ауданының әкімдігінің 2010 жылғы 9 желтоқсандағы № А-11/327 қаулысы. Ақмола облысы Жақсы ауданының Әділет басқармасында 2010 жылғы 29 желтоқсанда № 1-13-124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ауданында 2011 жылға арналған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Жақсы ауданы бойынша 2011 жылға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шарттары, еңбек ақы төлемдерінің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Жақсы ауданы әкімінің орынбасары А.Д.Бралинаға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Жақсы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А.Журбин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мұрағаттар мен құжаттамалар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«Жақсы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Қ.Әбуева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желтоқсандағы № А-11/327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Жақсы ауданы бойынша 2011 жылға 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жағдайлары, еңбек ақы</w:t>
      </w:r>
      <w:r>
        <w:br/>
      </w:r>
      <w:r>
        <w:rPr>
          <w:rFonts w:ascii="Times New Roman"/>
          <w:b/>
          <w:i w:val="false"/>
          <w:color w:val="000000"/>
        </w:rPr>
        <w:t>
төлемдерінің мөлшері және оларды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110"/>
        <w:gridCol w:w="2526"/>
        <w:gridCol w:w="1465"/>
        <w:gridCol w:w="1487"/>
        <w:gridCol w:w="2440"/>
        <w:gridCol w:w="1769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жағдайлары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төлемдерінің мөлшері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Белағаш ауылы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Беловод ауылдық округі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көмектесу;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Жақсы ауылы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Жаңақима ауылдық округі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Запорожье ауылдық округі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Қайрақты ауылдық округі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Тарас ауылдық округі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Калинин ауылдық округі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Ешім ауылдық округі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Терісаққан ауылдық округі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Новокиенка ауылдық округі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Кызылсай ауылдық округі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«Жақсы ауданының Подгорное ауылы әкімінің аппараты» ММ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шаршы метр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Киев ауылы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Чапай ауылы әкімінің аппараты» 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құруға көмектесу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Жақсы ауданының Қорғаныс істері жөніндегі бөлімі» ММ (келісу бойынша)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мұрағаттар мен құжаттамалар басқармасының «Жақсы ауданының мемлекеттік мұрағаты» ММ (келісу бойынша)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қысқартылған сөздер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 –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