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0c7" w14:textId="1d06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2010 жылғы 9 ақпандағы № А-1/17 "Халықтың нысаналы топтарына жататын тұлғалардың қосымша тізбесін белгілеу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2010 жылғы 2 сәуірдегі № А-3/98 қаулысы. Ақмола облысы Жақсы ауданының Әділет басқармасында 2010 жылғы 5 мамырда № 1-13-108 тіркелді. Күші жойылды - Ақмола облысы Жақсы ауданы әкімдігінің 2011 жылғы 4 наурыздағы № а-2/69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Жақсы ауданы әкімдігінің 2011.03.04 № а-2/69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өзін–өзі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Жақсы ауданының әкімдігін «Халықтың нысаналы топтарына жататын тұлғалардың қосымша тізбесін белгілеу туралы» 2010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А-1/17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1-13-106 тіркелген, 2010 жылдың 19 наурызында «Жақсы жаршысы»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 тармақшаларымен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40 жас және одан жоғары жастағы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2 - тармақтағы 1 тармақша «24» саны «29»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Жақсы ауданы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қаулы Жақсы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