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f371" w14:textId="d4af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"Жоғарғы оқу орнынан кейінгі кәсіби оқу бағдарламаларын іске асыратын білім беру ұйымдарына оқуға қабылдаудың үлгі ережесін бекіту туралы" Қазақстан Республикасы Білім және ғылым министрінің 2008 жылғы 1 сәуірдегі № 161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2010 жылғы 9 шілдедегі N 365 Бұйрығы. Қазақстан Республикасы Әділет министрлігінде 2010 жылғы 2 тамызда Нормативтік құқықтық кесімдерді мемлекеттік тіркеудің тізіліміне N 6373 болып енгізілді. Күші жойылды - Қазақтан Республикасы Білім және ғылым министрінің 2013 жылғы 15 қаңтардағы № 10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15.01.2013 </w:t>
      </w:r>
      <w:r>
        <w:rPr>
          <w:rFonts w:ascii="Times New Roman"/>
          <w:b w:val="false"/>
          <w:i w:val="false"/>
          <w:color w:val="ff0000"/>
          <w:sz w:val="28"/>
        </w:rPr>
        <w:t>№ 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Жоғары оқу орындарында оқу үшін анағұрлым даярланған және дарынды үміткерлерді қабылдау рәсімін жетілдіру және іріктеуді қамтамасыз ету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«Жоғарғы оқу орнынан кейінгі білімнің кәсіби оку бағдарламаларын іске асыратын білім беру ұйымдарына оқуға қабылдаудың үлгі ережесін бекіту туралы» Қазақстан Республикасы Білім және ғылым министрінің 2008 жылғы 1 сәуірдегі № 161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5214 тіркелген, «Заң газетінің» 2008 жылғы 23 мамырдағы № 77 (1477) жарияланған) мынадай өзгерістер мен толықтырулар енгізілсін:</w:t>
      </w:r>
      <w:r>
        <w:br/>
      </w:r>
      <w:r>
        <w:rPr>
          <w:rFonts w:ascii="Times New Roman"/>
          <w:b w:val="false"/>
          <w:i w:val="false"/>
          <w:color w:val="000000"/>
          <w:sz w:val="28"/>
        </w:rPr>
        <w:t>
      тақырыбында «жоғарғы» деген сөз «жоғары» деген сөзбен ауыстырылсын;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Жоғары оқу орнынан кейінгі білімнің кәсіби оқу бағдарламаларын іске асыратын білім беру ұйымдарына қабылдаудың үлгі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тақырыпта «қабылдаудың» деген сөздің алдынан «оқуға» деген сөзбен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Test of English as a Foreign Language (TOEFL, шекті балл - кемінде 560), International English Language Tests System (IELTS, шекті балл - кемінде 6.0), Grundbaustein DaF (шекті балл - С 1), Deutsche Sprachprfung fur den Hochschulzugang (DSH, шекті балл - С 1), Diplome d</w:t>
      </w:r>
      <w:r>
        <w:rPr>
          <w:rFonts w:ascii="Times New Roman"/>
          <w:b w:val="false"/>
          <w:i w:val="false"/>
          <w:color w:val="000000"/>
          <w:vertAlign w:val="superscript"/>
        </w:rPr>
        <w:t>,</w:t>
      </w:r>
      <w:r>
        <w:rPr>
          <w:rFonts w:ascii="Times New Roman"/>
          <w:b w:val="false"/>
          <w:i w:val="false"/>
          <w:color w:val="000000"/>
          <w:sz w:val="28"/>
        </w:rPr>
        <w:t>Etudes en Langue francaise (DELF, шекті балл - В 2), Diplome Approfonde de Langue arancaise (DALF, шекті балл - С 1) Test de connaisances de francaise (TCF, шекті балл - кемінде 400) бағдарламалары бойынша шет тілінен (ағылшын, француз, неміс) тест тапсырғандығы туралы расталған сертификаты бар Қазақстан Республикасының азаматтары магистратураға, резидентураға, адъюнктураға және PhD докторантураға түсу кезінде шет тілінен түсу емтихандарынан босатылады.»;</w:t>
      </w:r>
      <w:r>
        <w:br/>
      </w:r>
      <w:r>
        <w:rPr>
          <w:rFonts w:ascii="Times New Roman"/>
          <w:b w:val="false"/>
          <w:i w:val="false"/>
          <w:color w:val="000000"/>
          <w:sz w:val="28"/>
        </w:rPr>
        <w:t>
</w:t>
      </w:r>
      <w:r>
        <w:rPr>
          <w:rFonts w:ascii="Times New Roman"/>
          <w:b w:val="false"/>
          <w:i w:val="false"/>
          <w:color w:val="000000"/>
          <w:sz w:val="28"/>
        </w:rPr>
        <w:t>
      қазақ тіліндегі мәтінде 10-тармақтың 2) тармақшасындағы «куәландырылған құжат» деген сөздерден кейін «көшірмесі» деген сөз алынып тасталсын;</w:t>
      </w:r>
      <w:r>
        <w:br/>
      </w:r>
      <w:r>
        <w:rPr>
          <w:rFonts w:ascii="Times New Roman"/>
          <w:b w:val="false"/>
          <w:i w:val="false"/>
          <w:color w:val="000000"/>
          <w:sz w:val="28"/>
        </w:rPr>
        <w:t>
</w:t>
      </w:r>
      <w:r>
        <w:rPr>
          <w:rFonts w:ascii="Times New Roman"/>
          <w:b w:val="false"/>
          <w:i w:val="false"/>
          <w:color w:val="000000"/>
          <w:sz w:val="28"/>
        </w:rPr>
        <w:t>
      10-тармақтың </w:t>
      </w:r>
      <w:r>
        <w:rPr>
          <w:rFonts w:ascii="Times New Roman"/>
          <w:b w:val="false"/>
          <w:i w:val="false"/>
          <w:color w:val="000000"/>
          <w:sz w:val="28"/>
        </w:rPr>
        <w:t>2) тармақшасында</w:t>
      </w:r>
      <w:r>
        <w:rPr>
          <w:rFonts w:ascii="Times New Roman"/>
          <w:b w:val="false"/>
          <w:i w:val="false"/>
          <w:color w:val="000000"/>
          <w:sz w:val="28"/>
        </w:rPr>
        <w:t xml:space="preserve"> «(резидентураға түсу үшін)» деген сөздерден кейін «, осы Ереженің 5-1-тармағында көрсетілген бағдарламалар бойынша тест тапсырғандығы туралы сертификат көшірмесі»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12-тармақтың </w:t>
      </w:r>
      <w:r>
        <w:rPr>
          <w:rFonts w:ascii="Times New Roman"/>
          <w:b w:val="false"/>
          <w:i w:val="false"/>
          <w:color w:val="000000"/>
          <w:sz w:val="28"/>
        </w:rPr>
        <w:t>4) тармақшасында</w:t>
      </w:r>
      <w:r>
        <w:rPr>
          <w:rFonts w:ascii="Times New Roman"/>
          <w:b w:val="false"/>
          <w:i w:val="false"/>
          <w:color w:val="000000"/>
          <w:sz w:val="28"/>
        </w:rPr>
        <w:t xml:space="preserve"> «құжаттар» деген сөзден кейін «, осы Ереженің 5-1-тармағында көрсетілген бағдарламалар бойынша тест тапсырғандығы туралы сертификат»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қазақ тіліндегі мәтінде 13-тармақтағы «азаматтар» деген сөз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w:t>
      </w:r>
      <w:r>
        <w:rPr>
          <w:rFonts w:ascii="Times New Roman"/>
          <w:b w:val="false"/>
          <w:i w:val="false"/>
          <w:color w:val="000000"/>
          <w:sz w:val="28"/>
        </w:rPr>
        <w:t xml:space="preserve"> «Мемлекеттік білім беру стандарттары мен тестілеудің ұлттық орталығы» деген сөздер «Ұлттық тестілеу орталығы»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24-тармақта</w:t>
      </w:r>
      <w:r>
        <w:rPr>
          <w:rFonts w:ascii="Times New Roman"/>
          <w:b w:val="false"/>
          <w:i w:val="false"/>
          <w:color w:val="000000"/>
          <w:sz w:val="28"/>
        </w:rPr>
        <w:t>:</w:t>
      </w:r>
      <w:r>
        <w:br/>
      </w:r>
      <w:r>
        <w:rPr>
          <w:rFonts w:ascii="Times New Roman"/>
          <w:b w:val="false"/>
          <w:i w:val="false"/>
          <w:color w:val="000000"/>
          <w:sz w:val="28"/>
        </w:rPr>
        <w:t>
      «Конкурстық» деген сөздің алдына «Осы Ережеге қосымшаға сәйкес бағалардың 100 балдық шкаласы бойынша» деген сөздермен толықтырылсын;</w:t>
      </w:r>
      <w:r>
        <w:br/>
      </w:r>
      <w:r>
        <w:rPr>
          <w:rFonts w:ascii="Times New Roman"/>
          <w:b w:val="false"/>
          <w:i w:val="false"/>
          <w:color w:val="000000"/>
          <w:sz w:val="28"/>
        </w:rPr>
        <w:t>
      «тиісті ғылыми мамандығының бейіні бойынша» деген сөздер «таңдалған бейінге сәйкес»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департаменті (Г.Н. Доғалова) заңнамада белгіленген тәртіппен осы бұйрықтың Қазақстан Республикасы Әділет министрлігінде мемлекеттік тіркелуін және ресми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міндетін атқарушы                                М. Сарыбеков</w:t>
      </w:r>
    </w:p>
    <w:p>
      <w:pPr>
        <w:spacing w:after="0"/>
        <w:ind w:left="0"/>
        <w:jc w:val="both"/>
      </w:pPr>
      <w:r>
        <w:rPr>
          <w:rFonts w:ascii="Times New Roman"/>
          <w:b w:val="false"/>
          <w:i/>
          <w:color w:val="000000"/>
          <w:sz w:val="28"/>
        </w:rPr>
        <w:t>      «КЕЛТСІЛДІ»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________________ А. Құрманғалиева</w:t>
      </w:r>
      <w:r>
        <w:br/>
      </w:r>
      <w:r>
        <w:rPr>
          <w:rFonts w:ascii="Times New Roman"/>
          <w:b w:val="false"/>
          <w:i w:val="false"/>
          <w:color w:val="000000"/>
          <w:sz w:val="28"/>
        </w:rPr>
        <w:t>
</w:t>
      </w:r>
      <w:r>
        <w:rPr>
          <w:rFonts w:ascii="Times New Roman"/>
          <w:b w:val="false"/>
          <w:i/>
          <w:color w:val="000000"/>
          <w:sz w:val="28"/>
        </w:rPr>
        <w:t>      2010 жыл</w:t>
      </w:r>
    </w:p>
    <w:p>
      <w:pPr>
        <w:spacing w:after="0"/>
        <w:ind w:left="0"/>
        <w:jc w:val="both"/>
      </w:pPr>
      <w:r>
        <w:rPr>
          <w:rFonts w:ascii="Times New Roman"/>
          <w:b w:val="false"/>
          <w:i w:val="false"/>
          <w:color w:val="000000"/>
          <w:sz w:val="28"/>
        </w:rPr>
        <w:t xml:space="preserve">Жоғарғы оқу орнынан кейінгі     </w:t>
      </w:r>
      <w:r>
        <w:br/>
      </w:r>
      <w:r>
        <w:rPr>
          <w:rFonts w:ascii="Times New Roman"/>
          <w:b w:val="false"/>
          <w:i w:val="false"/>
          <w:color w:val="000000"/>
          <w:sz w:val="28"/>
        </w:rPr>
        <w:t xml:space="preserve">
білімнің кәсіби оқу бағдарламаларын </w:t>
      </w:r>
      <w:r>
        <w:br/>
      </w:r>
      <w:r>
        <w:rPr>
          <w:rFonts w:ascii="Times New Roman"/>
          <w:b w:val="false"/>
          <w:i w:val="false"/>
          <w:color w:val="000000"/>
          <w:sz w:val="28"/>
        </w:rPr>
        <w:t xml:space="preserve">
іске асыратын білім беру ұйымдарына </w:t>
      </w:r>
      <w:r>
        <w:br/>
      </w:r>
      <w:r>
        <w:rPr>
          <w:rFonts w:ascii="Times New Roman"/>
          <w:b w:val="false"/>
          <w:i w:val="false"/>
          <w:color w:val="000000"/>
          <w:sz w:val="28"/>
        </w:rPr>
        <w:t xml:space="preserve">
оқуға қабылдаудың үлгі ережесіне  </w:t>
      </w:r>
      <w:r>
        <w:br/>
      </w:r>
      <w:r>
        <w:rPr>
          <w:rFonts w:ascii="Times New Roman"/>
          <w:b w:val="false"/>
          <w:i w:val="false"/>
          <w:color w:val="000000"/>
          <w:sz w:val="28"/>
        </w:rPr>
        <w:t xml:space="preserve">
қосымша               </w:t>
      </w:r>
    </w:p>
    <w:bookmarkStart w:name="z12" w:id="1"/>
    <w:p>
      <w:pPr>
        <w:spacing w:after="0"/>
        <w:ind w:left="0"/>
        <w:jc w:val="left"/>
      </w:pPr>
      <w:r>
        <w:rPr>
          <w:rFonts w:ascii="Times New Roman"/>
          <w:b/>
          <w:i w:val="false"/>
          <w:color w:val="000000"/>
        </w:rPr>
        <w:t xml:space="preserve"> 
Бағалаудың 4 және 100 балдық шкаласы бойынша бағаны</w:t>
      </w:r>
      <w:r>
        <w:br/>
      </w:r>
      <w:r>
        <w:rPr>
          <w:rFonts w:ascii="Times New Roman"/>
          <w:b/>
          <w:i w:val="false"/>
          <w:color w:val="000000"/>
        </w:rPr>
        <w:t>
ауыстырудың жүйесі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3"/>
        <w:gridCol w:w="5533"/>
      </w:tblGrid>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Бағалаудың 100 балдық шкаласы бойынша балдар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Бағалаудың 4 балдық шкаласы бойынша балдар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 (5)</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c>
          <w:tcPr>
            <w:tcW w:w="0" w:type="auto"/>
            <w:vMerge/>
            <w:tcBorders>
              <w:top w:val="nil"/>
              <w:left w:val="single" w:color="cfcfcf" w:sz="5"/>
              <w:bottom w:val="single" w:color="cfcfcf" w:sz="5"/>
              <w:right w:val="single" w:color="cfcfcf" w:sz="5"/>
            </w:tcBorders>
          </w:tcP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(4)</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c>
          <w:tcPr>
            <w:tcW w:w="0" w:type="auto"/>
            <w:vMerge/>
            <w:tcBorders>
              <w:top w:val="nil"/>
              <w:left w:val="single" w:color="cfcfcf" w:sz="5"/>
              <w:bottom w:val="single" w:color="cfcfcf" w:sz="5"/>
              <w:right w:val="single" w:color="cfcfcf" w:sz="5"/>
            </w:tcBorders>
          </w:tcP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c>
          <w:tcPr>
            <w:tcW w:w="0" w:type="auto"/>
            <w:vMerge/>
            <w:tcBorders>
              <w:top w:val="nil"/>
              <w:left w:val="single" w:color="cfcfcf" w:sz="5"/>
              <w:bottom w:val="single" w:color="cfcfcf" w:sz="5"/>
              <w:right w:val="single" w:color="cfcfcf" w:sz="5"/>
            </w:tcBorders>
          </w:tcP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 (3)</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c>
          <w:tcPr>
            <w:tcW w:w="0" w:type="auto"/>
            <w:vMerge/>
            <w:tcBorders>
              <w:top w:val="nil"/>
              <w:left w:val="single" w:color="cfcfcf" w:sz="5"/>
              <w:bottom w:val="single" w:color="cfcfcf" w:sz="5"/>
              <w:right w:val="single" w:color="cfcfcf" w:sz="5"/>
            </w:tcBorders>
          </w:tcP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c>
          <w:tcPr>
            <w:tcW w:w="0" w:type="auto"/>
            <w:vMerge/>
            <w:tcBorders>
              <w:top w:val="nil"/>
              <w:left w:val="single" w:color="cfcfcf" w:sz="5"/>
              <w:bottom w:val="single" w:color="cfcfcf" w:sz="5"/>
              <w:right w:val="single" w:color="cfcfcf" w:sz="5"/>
            </w:tcBorders>
          </w:tcP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0" w:type="auto"/>
            <w:vMerge/>
            <w:tcBorders>
              <w:top w:val="nil"/>
              <w:left w:val="single" w:color="cfcfcf" w:sz="5"/>
              <w:bottom w:val="single" w:color="cfcfcf" w:sz="5"/>
              <w:right w:val="single" w:color="cfcfcf" w:sz="5"/>
            </w:tcBorders>
          </w:tcP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0" w:type="auto"/>
            <w:vMerge/>
            <w:tcBorders>
              <w:top w:val="nil"/>
              <w:left w:val="single" w:color="cfcfcf" w:sz="5"/>
              <w:bottom w:val="single" w:color="cfcfcf" w:sz="5"/>
              <w:right w:val="single" w:color="cfcfcf" w:sz="5"/>
            </w:tcBorders>
          </w:tcP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 (2)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