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41a8" w14:textId="d1d4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агенттігінің кейбір нормативтік құқықтық актілеріне "Сақтандыру төлемдеріне кепілдік беру қоры" акционерлік қоғамының қызметі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2010 жылғы 1 наурыздағы N 21 Қаулысы. Қазақстан Республикасы Әділет министрлігінде 2010 жылғы 9 сәуірде Нормативтік құқықтық кесімдерді мемлекеттік тіркеудің тізіліміне N 6155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міндетті және өзара сақтандыру, салық салу мәселелері бойынша өзгерістер мен толықтырулар енгізу туралы» Қазақстан Республикасының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Қаржы нарығын және қаржы ұйымдарын реттеу мен қадағалау агенттігінің (бұдан әрі –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Банкі Басқармасының «Сақтандыру төлемдеріне кепілдік беру қорына қатысудың үлгі шартын бекіту туралы» 2003 жылғы 24 қыркүйектегі № 345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2548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Сақтандыру төлемдеріне кепілдік беру қорына қатысудың үлгі шартында: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«Қор» деген сөзден кейін «жыл сайын уәкілетті органның келісуімен»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«Қор» деген сөзден кейін «жыл сайын уәкілетті органның келісуімен»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«өзінің шартты міндеттемелерін Қор» деген сөздерден кейін «жыл сайын уәкілетті органның келісуімен» деген сөздермен толықтырылсын»;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«мемлекеттік»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«пікірін қосқанда» деген сөздер «айырылуын қоса алғанда»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2-тармақтың күші жойылды - ҚР Қаржы нарығын және қаржы ұйымдарын реттеу мен қадағалау агенттігі Басқармасының 2010.04.30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3-тармақтың күші жойылды - ҚР Ұлттық Банкі Басқармасының 2012.02.13 № 31 (ресми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бірінші ресми жариялаған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Сақтандыру нарығының субъектілерін және басқа қаржы ұйымдарын қадағалау департаменті (Д.Ш. Қарақұлова):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бөлiмшелерiне, Қазақстан Республикасы Ұлттық Банкке және «Қазақстан қаржыгерлерiнiң қауымдастығы» заңды тұлғалар бiрлестiгiне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Агенттік Төрайымының қызметі (А.Ә. Кенже) Қазақстан Республикасының бұқаралық ақпарат құралдарында осы қаулыны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Агенттік Төрайымының орынбасары А.Ө. Алдамбергенге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Төрайым   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