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72d2" w14:textId="71e7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екінші деңгейдегі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етілетін рейтингін белгілеу туралы" 2007 жылғы 30 сәуірдегі № 128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агеттігі Басқармасының 2010 жылғы 27 желтоқсандағы № 185 қаулысы. Қазақстан республикасы Әділет министрлігінде 2011 жылғы 7 ақпанда № 6769 тіркелді. Күші жойылды - Қазақстан Республикасы Ұлттық Банкі Басқармасының 2012 жылғы 28 сәуірдегі № 176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екiншi деңгейдегі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 2007 жылғы 30 сәуірдегі № 128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4717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«2011» деген цифрлар «2012»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«2-3.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(жүзеге асырған), қайта құрылымдау аясында сатып алынған және осы қаулының 1 және 2-тармақтарының талаптарына сәйкес келмейтін облигациялары бар банктер аталған облигацияларды қайта құрылымдау аяқталған жылдан кейінгі бес жылға дейінгі мерзімде сатсын.».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және 2011 жылғы 1 қаңтардан бастап пайда болған қатынастарға қолданылады.</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бөлімшелерінің, «Қазақстан қаржыгерлерінің қауымдастығы» және «Атамекен» Одағы» Қазақстан ұлттық экономикалық палатасы» заңды тұлғалар бірлестіктерінің назарына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