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d4c3" w14:textId="cafd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 міндетін атқарушының 2002 жылғы 12 ақпандағы № 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2010 жылғы 27 қыркүйектегі 251 Бұйрығы. Қазақстан Республикасы Әділет министрлігінде 2010 жылғы 26 қазанда Нормативтік құқықтық кесімдерді мемлекеттік тіркеудің тізіліміне N 6595 болып енгізілді. Күші жойылды - Қазақстан Республикасы Мәдениет және ақпарат министрінің 2012 жылғы 31 мамырдағы № 75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2012.05.31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«Бұқаралық ақпарат құралдары туралы» Қазақстан Республикасының Заңының 4-3 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 міндетін атқарушының 2002 жылғы 12 ақпандағы № 32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 мемлекеттік тіркеу тізілімінде № 1751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атауында және </w:t>
      </w:r>
      <w:r>
        <w:rPr>
          <w:rFonts w:ascii="Times New Roman"/>
          <w:b w:val="false"/>
          <w:i w:val="false"/>
          <w:color w:val="000000"/>
          <w:sz w:val="28"/>
        </w:rPr>
        <w:t>1-тармақта</w:t>
      </w:r>
      <w:r>
        <w:rPr>
          <w:rFonts w:ascii="Times New Roman"/>
          <w:b w:val="false"/>
          <w:i w:val="false"/>
          <w:color w:val="000000"/>
          <w:sz w:val="28"/>
        </w:rPr>
        <w:t xml:space="preserve"> «жерүсті телерадио хабарларын тарату» сөздері «телевизиялық және (немесе) радио хабарларын тарату» сөздерімен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жерүсті телерадио хабарларын тарату құқығын алуға конкурс өткізудің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атауында және бүкіл мәтін бойынша «жерүсті телерадио хабарларын тарату» сөздері «телевизиялық және (немесе) радио хабарларын тарату»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Ереже телевизиялық және (немесе) радио хабарларын тарату құқығын алуға конкурс (бұдан әрi - Ереже) Қазақстан Республикасының «Бұқаралық ақпарат құралдары туралы» Заңының 4-3-бабының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әзірленді және конкурс өткізудiң шарттарын және оған жеке және заңды тұлғалардың қатысуын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«Мәдениет және ақпарат министрлігі» сөздері «Байланыс және ақпарат министрлігі»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Конкурс Үміткерлері конкурс шарттарының барлық тармақтары бойынша түсініктеме алу үшін Комиссияның жұмысшы органына Қазақстан Республикасы Байланыс және ақпарат министрлігінің Ақпарат және мұрағат комитетіне өтініш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3) тармақшада:</w:t>
      </w:r>
      <w:r>
        <w:br/>
      </w:r>
      <w:r>
        <w:rPr>
          <w:rFonts w:ascii="Times New Roman"/>
          <w:b w:val="false"/>
          <w:i w:val="false"/>
          <w:color w:val="000000"/>
          <w:sz w:val="28"/>
        </w:rPr>
        <w:t>
      Екінші абзац және үшінші абзац мынадай редакцияда жазылсын:</w:t>
      </w:r>
      <w:r>
        <w:br/>
      </w:r>
      <w:r>
        <w:rPr>
          <w:rFonts w:ascii="Times New Roman"/>
          <w:b w:val="false"/>
          <w:i w:val="false"/>
          <w:color w:val="000000"/>
          <w:sz w:val="28"/>
        </w:rPr>
        <w:t>
      «белгіленген тәртіппен расталған мына құжаттардың көшірмелерін:</w:t>
      </w:r>
      <w:r>
        <w:br/>
      </w:r>
      <w:r>
        <w:rPr>
          <w:rFonts w:ascii="Times New Roman"/>
          <w:b w:val="false"/>
          <w:i w:val="false"/>
          <w:color w:val="000000"/>
          <w:sz w:val="28"/>
        </w:rPr>
        <w:t>
      жеке тұлға үшін - жеке басын куәландыратын және кәсіпкерлік қызметпен айналысу құқығын растайтын құжаттар;</w:t>
      </w:r>
      <w:r>
        <w:br/>
      </w:r>
      <w:r>
        <w:rPr>
          <w:rFonts w:ascii="Times New Roman"/>
          <w:b w:val="false"/>
          <w:i w:val="false"/>
          <w:color w:val="000000"/>
          <w:sz w:val="28"/>
        </w:rPr>
        <w:t>
      «заңды тұлға үшін - мемлекеттік тіркеу туралы (қайта тіркеу) куәлік, құрылтай құжаттары.»;</w:t>
      </w:r>
      <w:r>
        <w:br/>
      </w:r>
      <w:r>
        <w:rPr>
          <w:rFonts w:ascii="Times New Roman"/>
          <w:b w:val="false"/>
          <w:i w:val="false"/>
          <w:color w:val="000000"/>
          <w:sz w:val="28"/>
        </w:rPr>
        <w:t>
      бесінші абзацтағы «бере алуы мүмкін» деген сөздер «береді»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және үшінші абзацтармен толықтырылсын:</w:t>
      </w:r>
      <w:r>
        <w:br/>
      </w:r>
      <w:r>
        <w:rPr>
          <w:rFonts w:ascii="Times New Roman"/>
          <w:b w:val="false"/>
          <w:i w:val="false"/>
          <w:color w:val="000000"/>
          <w:sz w:val="28"/>
        </w:rPr>
        <w:t>
      «Конкурсқа қатысатын өтінімдер салынған конверттерді ашқан күні Комиссияның жұмыс органы конверттерді ашу хаттамасын дайындайды.</w:t>
      </w:r>
      <w:r>
        <w:br/>
      </w:r>
      <w:r>
        <w:rPr>
          <w:rFonts w:ascii="Times New Roman"/>
          <w:b w:val="false"/>
          <w:i w:val="false"/>
          <w:color w:val="000000"/>
          <w:sz w:val="28"/>
        </w:rPr>
        <w:t>
      Конверттерді ашу хаттамасына төраға және қатысқан барлық Комиссия мүшелері, сондай-ақ хатшы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Конверттерді ашқаннан кейін бес жұмыс күнінің ішінде сараптамалық қорытынды дайындайды.</w:t>
      </w:r>
      <w:r>
        <w:br/>
      </w:r>
      <w:r>
        <w:rPr>
          <w:rFonts w:ascii="Times New Roman"/>
          <w:b w:val="false"/>
          <w:i w:val="false"/>
          <w:color w:val="000000"/>
          <w:sz w:val="28"/>
        </w:rPr>
        <w:t>
      Мамандар Үміткерлер ұсынған қызметтердің конкурстық құжаттаманың талаптарына сәйкестігі мәніне сараптамалық қорытынды береді және олардың конкурстық комиссия шешім қабылдаған кезде дауыс беру құқығы болмайды. Сараптамалық қорытынды жазбаша түрде ресімделеді және оған мамандардың қолдары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Конкурстың қорытындылары төрағаның және Комиссия мүшелерінің қолы қойылған хаттамамен ресімделеді.</w:t>
      </w:r>
      <w:r>
        <w:br/>
      </w:r>
      <w:r>
        <w:rPr>
          <w:rFonts w:ascii="Times New Roman"/>
          <w:b w:val="false"/>
          <w:i w:val="false"/>
          <w:color w:val="000000"/>
          <w:sz w:val="28"/>
        </w:rPr>
        <w:t>
      Конкурстың нәтижелері Комиссияның отырысында жеңімпаздарды анықтайтын күні хабарланады және екі жұмыс күнінің ішінде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Ақпарат және мұрағат комитеті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