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0218" w14:textId="3e20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ауданда біржолғы талондардың құнын және жекелеген салық төлем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2009 жылғы 25 ақпандағы № 11-3 шешімі. Батыс Қазақстан облысы Ақжайық ауданы әділет басқармасында 2009 жылғы 16 наурызда № 7-2-71 тіркелді. Күші жойылды - Батыс Қазақстан облысы Ақжайық аудандық мәслихатының 2013 жылғы 5 қаңтардағы № 8-2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Ақжайық аудандық мәслихатының 05.01.2013 № 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 (Салық кодексі)" Қазақстан Республикасының кодексін қолданысқа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дүнгіршектердегі,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занды тұлғаларға біржолғы талондардың құны 1-қосымшаға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Қызметі дүркін-дүркін сипаттағы жеке тұлғаларға біржолғы талондардың құны 2-қосымшаға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Айына салық салу бірлігіне тіркелген бірыңғай жиынтық салық ставкалары 3-қосымшаға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2009 жылғы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дүнгіршектердегі, стационарлық</w:t>
      </w:r>
      <w:r>
        <w:br/>
      </w:r>
      <w:r>
        <w:rPr>
          <w:rFonts w:ascii="Times New Roman"/>
          <w:b/>
          <w:i w:val="false"/>
          <w:color w:val="000000"/>
        </w:rPr>
        <w:t>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қоспағанда, базарларда тауарларөткізу, жұмыстар</w:t>
      </w:r>
      <w:r>
        <w:br/>
      </w:r>
      <w:r>
        <w:rPr>
          <w:rFonts w:ascii="Times New Roman"/>
          <w:b/>
          <w:i w:val="false"/>
          <w:color w:val="000000"/>
        </w:rPr>
        <w:t>орындау, қызметтер көрсету жөніндегі қызметтерді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жеке тұлғалар, дара кәсіпкерлер мен</w:t>
      </w:r>
      <w:r>
        <w:br/>
      </w:r>
      <w:r>
        <w:rPr>
          <w:rFonts w:ascii="Times New Roman"/>
          <w:b/>
          <w:i w:val="false"/>
          <w:color w:val="000000"/>
        </w:rPr>
        <w:t>занды тұлғаларға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3394"/>
        <w:gridCol w:w="5600"/>
      </w:tblGrid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(тенге)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өнеркәсіп тауарларда өткізу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 жеке</w:t>
      </w:r>
      <w:r>
        <w:br/>
      </w:r>
      <w:r>
        <w:rPr>
          <w:rFonts w:ascii="Times New Roman"/>
          <w:b/>
          <w:i w:val="false"/>
          <w:color w:val="000000"/>
        </w:rPr>
        <w:t>тұлғаларға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5693"/>
        <w:gridCol w:w="1901"/>
        <w:gridCol w:w="1902"/>
        <w:gridCol w:w="1569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Базарда сатылатын заттар және көрсетілетін қызмет түрлері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(теңге)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 (теңге)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ауылдар (теңге)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(тұрақты үй-жайларда жүзеге асырылатын қызметтен басқасы);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журналдар;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Тұқым, сондай-ақ отырғызылатын материал (екпелер, көшет);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дақылдары;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Саяжайларда және үй маңындағы учаскелерде өсірілген табиғи гүлдерді;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ауыл шаруашылығы, бағбандық, бақшашылық және саяжай учаскелерінің өнімдерін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 жемдерін;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Сыпыртқылар,сыпырғылар, орман жидегін, бал, саңырауқұлақ және балық сатуды(стационарлық үй-жайда жүзеге асырылатын қызметтерді қоспағанда);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өңдеу жөніндегі жеке трактор иелерінің көрсететін қызметін;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</w:t>
      </w:r>
      <w:r>
        <w:br/>
      </w:r>
      <w:r>
        <w:rPr>
          <w:rFonts w:ascii="Times New Roman"/>
          <w:b/>
          <w:i w:val="false"/>
          <w:color w:val="000000"/>
        </w:rPr>
        <w:t>бірыңғай жиынтық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6111"/>
        <w:gridCol w:w="3607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(АЕК)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арналған,ұтыссыз ойын автоматы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ойыншылардын қатысуымен ойын өткізуге арналған ұтыссыз ойын автоматы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