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744f" w14:textId="8f47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2009 жылғы 29 қазандағы № 16-9 шешімі. Шығыс Қазақстан облысы Әділет департаментінің Күршім аудандық Әділет басқармасында 2009 жылғы 20 қарашада № 5-14-99 тіркелді. Күші жойылды - Шығыс Қазақстан облысы Күршім аудандық мәслихатының 2018 жылғы 25 сәуірдегі № 22/11-VI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25.04.2018 № 22/11-VI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№ 99-ІV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№ 148-ІІ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Айына салық салу объектісінің бірлігіне тіркелген салықтың базалық ставкаларының мөлшері қосымшаға сәйкес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Сессия төрағасы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Нұрмұханов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Аудандық мәслихаттың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хатшысы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Қ. Әбілмәжінов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алтыншы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объектісінің бірлігіне тіркелген</w:t>
      </w:r>
      <w:r>
        <w:br/>
      </w:r>
      <w:r>
        <w:rPr>
          <w:rFonts w:ascii="Times New Roman"/>
          <w:b/>
          <w:i w:val="false"/>
          <w:color w:val="000000"/>
        </w:rPr>
        <w:t>салықтың базалық ставкаларының мөлшері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3660"/>
        <w:gridCol w:w="5776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ставкаларының ең төменгі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 автоматы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 автоматы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