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521e" w14:textId="aaf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Шоқпартоғай селосы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селолық округі әкімінің 2009 жылғы 1 қазандағы № 16 шешімі. Жылыой аудандық әділет департаментінде 2009 жылғы 16 қазанда № 4-2-128 тіркелді. Күші жойылды - Атырау облысы Жылыой ауданы Қара Арна селолық округі әкімінің 2010 жылғы 1 маусымдағы № 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Жылыой ауданы Қара Арна селолық округі әкімінің 01.06.2010 № </w:t>
      </w:r>
      <w:r>
        <w:rPr>
          <w:rFonts w:ascii="Times New Roman"/>
          <w:b w:val="false"/>
          <w:i w:val="false"/>
          <w:color w:val="ff0000"/>
          <w:sz w:val="28"/>
        </w:rPr>
        <w:t>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облыс әкімиятының 2009 жылғы 7 шілдедегі № 162 "Атырау облысының елді мекендерінің құрамдас бөліктеріне атау беру және қайта атауын, жер учаскелеріне, ғимараттар мен құрылыстарға реттік номерлер беру талаптарын белгілеу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аудандық ономастикалық комиссияның 2009 жылғы 21 қыркүйектегі № 7 шешіміне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Қара-Арна селолық округінің Шоқпартоғай селосы көшелеріне төмендегі елге танымал адамдар мен жер су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Шоқпартоғай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– Жаңажол;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 – Алға;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 – Қызылтаң;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 – Ақтайлақ;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 – Досының 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6 – Тайкеткен;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7 – Қазақстан;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 – Ракөш;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 – Иманғара;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 – Жұбан тамы;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 – Қызыл дихан;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 – Құлманбет Жамансарыұлы;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 – Қойқара;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14 – Жаршық;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15 – Ақжал.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Берілген көше атауын тұрғындарға оларды ауылдағы үлгілі көшеге айналдыру, көше тәртібі мен тазалығын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 әкімі Е. 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