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3b98" w14:textId="fc5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ставкаларының өзгерістері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2009 жылғы 28 шілдедегі № 156 шешімі. Қостанай облысы Қамысты ауданының Әділет басқармасында 2009 жылғы 11 қыркүйекте № 9-11-95 тіркелді. Күші жойылды - Қостанай облысы Қамысты ауданы мәслихатының 2015 жылғы 3 тамыздағы № 300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Қамысты ауданы мәслихатының 03.08.2015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2008 жылғы 10 желтоқсандағы Қазақстан Республикасының "Салық және бюджетке төленетін басқа да міндетті төлемдер туралы" Кодексінің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387-бабының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2001 жылғы 23 қаңтардағы Қазақстан Республикасының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бюджеттің кіріс бөлігін ұлғайту мақсатында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Автотұрақтар (паркингтер), автомобильге май құю станциялары үшін бөлінген (бөліп шығарылған) жерлерді қоспағанда, Қазақстан Республикасының 2008 жылғы 10 желтоқсандағы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50 процентке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Қамысты ауданы мәслихатының 2012.07.24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олар алғаш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төрайымы               С. Төлебаева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Қамысты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 Б. Рақымжанов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"Қамысты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C. Әлпаева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шілде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"Қамысты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Нұржанова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шілде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Қамысты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Сейтқамалов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шілде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