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ebff" w14:textId="091e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жекелеген санаттағы мұқтаж азаматтарына көрсетілетін әлеуметтік көмектің түрлерін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11 сессиясының 2009 жылғы 31 наурыздағы N 131 шешімі. Қарағанды облысы Ақтоғай ауданы Әділет басқармасында 2009 жылғы 30 сәуірде N 8-10-82 тіркелді. Күші жойылды - Қарағанды облысы Ақтоғай аудандық мәслихатының 18 сессиясының 2009 жылғы 23 желтоқсандағы N 192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Ақтоғай аудандық мәслихатының 18 сессиясының 2009.12.23 N 192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ауданының келесі санаттағы мұқтаж азаматтарына көрсетілетін әлеуметтік көмектің түрлері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қызметке ақы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және соларға теңестірілгендерге белгіленген тариф бойынша электр қуаты, су, көмір шығындарының қаражаты;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туберкулез, онкология ауруымен ауыратын азаматтарға ұсынған құжаттарына сай жол шығынын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қалпына келтіру үшін бір жолғы материалдық көмек;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мерекелік және айтулы күндерге;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8-наурыз Халықаралық әйелдер күніне - отбасының жиынтық табысы азық-түлік себетінің облыста белгіленген мөлшерінен аспаған жағдайда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жеңіс күніне орай – арнаулы мемлекеттік жәрдемақы алушыларға келесі санаттар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соғысының қатысушылары мен мүгедектеріне және соларға теңестірілгендерге;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балаларды қорғау күніне - он алты жасқа толмаған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жаңа жылды қарсы алу кезінде – он алты жасқа толмаған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санаттағы азаматтарға әлеуметтік көмек, қолдаулар көрсету барысында бекітілген мөлшерлемені қатаң сақтау ауданның жұмыспен қамту және әлеуметтік бағдарлмалар бөліміне (А. Түсіпбеков)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 әкімінің орынбасары С. Әбеуоваға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Тяжин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31.03.2009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