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8fd5" w14:textId="ec68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қызметке төлеуге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XXIII сессиясының 2009 жылғы 21 желтоқсандағы N 209 шешімі. Қарағанды облысы Қаражал қаласының Әділет басқармасында 2010 жылғы 20 қаңтарда N 8-5-85 тіркелді. Күші жойылды - Қарағанды облысы Қаражал қалалық мәслихатының 2011 жылғы 18 қазандағы N 378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қалалық мәслихатының 2011.10.18 N 378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23 қаңтардағы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1995 жылғы 28 сәуiрдегi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қалалық Мәслихатының 2009 жылғы 21 желтоқсандағы XXIII сессиясының N 203 "2010-2012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Коммуналдық қызметке Ұлы Отан соғысының қатысушылары мен мүгедектеріне олармен бiрге тұратын отбасы мүшелеріне және Қаражал қаласының Құрметтi азаматтарына - 100 % материалдық көмек көрсету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(Гармашова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көмекті тағайындау және төлем алушылардың жеке есеп шотына аудару жұмыстарын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 айлық төлемақы мөлшерін бір адам басына тұтыну нормасы бойынша анықтайды,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қуаты үшін қызмет көрсетушiнiң бастапқыда бекiтiлген тарифi бойынша, 150 киловатт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 су мен канализация үшін, қызмет көрсетушілер бекіткен тарифтер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қоқыс шығару үшін, қызмет көрсетушілер бекіткен тарифтер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беру үшін, қызмет көрсетушілер бекіткен тариф бойынша, 18 шаршы метрден артық емес, жалғыз басты тұратындарға 30 шаршы метрден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үшін - 1 шаршы метрге 225 килограмм, 18 шаршы метрден артық емес, жалғыз басты тұратындарға 30 шаршы метрден артық емес, өңірде қалыптасқан тоқсандық орта статистикалық бағамен;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үшін, орта статистикалық мәлімет бойынша, бір айға 1 баллон (27 литр).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Қаражал қалалық Мәслихатының 2007 жылғы 26 желтоқсандағы N 39 "Коммуналдық қызметке төлеуге материалдық көмек көрсету туралы" шешімінің (2008 жылғы 08 ақпандағы нормативтiк құқықтық кесiмдер мемлекеттiк тiркеудiң тiзiмiнде тiркеу нөмірі 8-5-48, 2008 жылғы 16 ақпандағы "Қазыналы өңір" газетiнiң 7 нөмiрiнде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қалалық Мәслихаттың әлеуметтiк сала және құқық қорғау мәселелерi жөнiндегi тұрақты комиссиясының төрағасына (С. Сыртанбеков)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XXIII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Кәдiрсiзов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