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1259" w14:textId="5d61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2008 жылғы 24 желтоқсанындағы "Күндізгі оқу нысанында оқитын оқушылардың қала ішіндегі қоғамдық көлікте (таксиден басқа) жеңілдікпен жүруі туралы" N 184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XXII сессиясының 2009 жылғы 29 сәуірдегі N 215 шешімі. Қарағанды облысы Қарағанды қаласы Әділет басқармасында 2009 жылғы 29 мамырда N 8-1-92 тіркелді. Күші жойылды - Қарағанды қалалық мәслихатының 2009 жылғы 23 желтоқсандағы N 301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Қарағанды қалалық мәслихатының 2009.12.23 N 301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 1 тармағының 2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7 шілдедегі "Қазақстан Республикасындағы мемлекеттік жастар саясаты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бабының 4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ETTI: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Нормативтік құқықтық актілерді мемлекеттік тіркеу Тізілімінде N 8-1-85 тіркелген, 2008 жылдың 29 желтоқсанында "Взгляд на события" газетінде N 134 (463) жарияланған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IV шақырылған Қарағанды қалалық мәслихатының кезекті XVI сессиясының 2008 жылғы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24 желтоқсанындағы "Күндізгі оқу нысанында оқитын оқушылардың қала iшiндегі қоғамдық көлікте (таксиден басқа) жеңілдікпен жүруі туралы" 184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1 тармақтың 2 тармақшасындағы "құны 300 теңге" сөзі, "құны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400 теңге" сөзімен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1 тармақтың 3 тармақшасындағы "құны 1000 теңге" сөзі, "құны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1300 теңге" сөзімен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шешімнің орындалуын бақылау еңбек, әлеуметтік саланы дамыту және халықты әлеуметтік қорғау мәселелері бойынша тұрақты комиссияға (төрағасы Аймағамбетов Асхат Қанатұлы)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ресми жарияланғаннан кейін он күнтізбелік күннен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ІV шақырылған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кезекті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Қарағанды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қаласының білім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Жылбаев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