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10f00" w14:textId="2d10f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Түрксіб селосындағы Седовка-1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Бесағаш селолық округі әкімінің 2009 жылғы 28 тамыздағы N 36 Шешімі. Жамбыл облысы Жамбыл ауданының Әділет басқармасында 2009 жылғы 01 қазанда 91 нөмірімен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Мәтінде авторлық орфография және пунктуация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Республикасының әкімшілік-аумақтық құрылысы туралы» Қазақстан Республикасының 1993 жылғы 8 желтоқсандағы Заңының 14 бабының 4) </w:t>
      </w:r>
      <w:r>
        <w:rPr>
          <w:rFonts w:ascii="Times New Roman"/>
          <w:b w:val="false"/>
          <w:i w:val="false"/>
          <w:color w:val="000000"/>
          <w:sz w:val="28"/>
        </w:rPr>
        <w:t>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Бесағаш селолық округіне қарасты Түрксіб селосындағы Седовка-1 көшесінің аты Бәйдібек баба атындағы көше болып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Әділет органдарында мемлекеттік тіркеуден өткен күннен бастап өз күшіне енеді және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Бесағаш селолық округінің әкімі            Т. Кожабаев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