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12d9" w14:textId="0691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шартын жасауға арналған сақтанушы өтінішінің мазмұнына қойылатын талаптарды белгілеу туралы" 2007 жылғы 25 маусымдағы N 178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қыркүйектегі N 217 Қаулысы. Қазақстан Республикасының Әділет министрлігінде 2009 жылғы 26 қазанда Нормативтік құқықтық кесімдерді мемлекеттік тіркеудің тізіліміне N 5830 болып енгізілді.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сақтандыруды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"Көлік құралдары иелерінің азаматтық-құқықтық жауапкершілігін міндетті сақтандыру шартын жасауға арналған сақтанушы өтінішінің мазмұнына қойылатын талаптарды белгілеу туралы" 2007 жылғы 25 маусымдағы N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4835 тіркелген, "Заң газеті" газетінде 2007 жылғы 5 қыркүйектегі N 135 (1164) жарияланған),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наурыздағы N 41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89 тіркелген, "Заң газеті" газетінде 2008 жылғы 13 маусымда N 89 (1315) жарияланған) енгізілген өзгерістерімен және толықтыруларымен бірге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"2) тармақшаның екінші, үшінші, бесінші, жетінші абзацтарында, 3) тармақшаның екінші, үшінші, алтыншыдан он бесінші аралығындағы абзацтарында, 5) тармақшада, 7) тармақшаның екіншіден бесінші аралығындағы, жетінші, сегізінші абзацтарында, 8) тармақшада көзделген Қазақстан Республикасының аумағына уақытша кіру туралы мәліметтерді растау бөлігіндегі мәліметтер бойынша сақтанушы растайтын құжаттардың көшірмелерін қоса береді.".</w:t>
      </w:r>
      <w:r>
        <w:br/>
      </w:r>
      <w:r>
        <w:rPr>
          <w:rFonts w:ascii="Times New Roman"/>
          <w:b w:val="false"/>
          <w:i w:val="false"/>
          <w:color w:val="000000"/>
          <w:sz w:val="28"/>
        </w:rPr>
        <w:t>
</w:t>
      </w:r>
      <w:r>
        <w:rPr>
          <w:rFonts w:ascii="Times New Roman"/>
          <w:b w:val="false"/>
          <w:i w:val="false"/>
          <w:color w:val="000000"/>
          <w:sz w:val="28"/>
        </w:rPr>
        <w:t>
      2. Осы қаулы бірінші ресми жарияланған күннен кейінгі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