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cd29" w14:textId="f26c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сыртқы жарнамаларды орналастырғаны үшін төлемақы       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2008 жылғы 10 шілдедегі 
N 6-5 шешімі. Шығыс Қазақстан облысы Әділет департаментінің Абай           ауданындағы Әділет басқармасында 2008 жылғы 25 шілдесінде N 5-5-82        тіркелді. Күші жойылды - Шығыс Қазақстан облысы Абай ауданы әкімдігінің 2008 жылғы 19 қыркүйектегі N 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Шығыс Қазақстан облысы Абай ауданы әкімдігінің 2008.09.19 N 8-2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“Қазақстан Республикасындағы жергілікті мемлекеттік басқару туралы”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“Салық және бюджетке төленетін басқа да міндетті төлемдер туралы” Қазақстан Республикасының 12.06.2001 жылғы № 209-ІІ салық Кодексінің 491-бабының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“Жарнама туралы” Қазақстан Республикасының 2003 жылғы 19 желтоқсандағы № 508-ІІ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2008 жылға жергілікті маңызы бар жалпыға ортақ пайдаланылатын автомобиль жолдарының бөлінген белдеуінде орналастырылатын және елді мекендерге орналастырлатын жарнама объектілері бойынша бір күнтізбелік айға төлем ақы ставкасы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"Салық және бюджетке төленетін басқа да міндетті төлемдер 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2008 жылға “Абай ауданы бойынша сыртқы (көрнекті) жарнамаларды (бір жағына) орналастырғаны үшін төлемақы ставкалары төмендегідей болып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Көлемі 2 шаршы метрге дейін көрсеткіштер, маңдайшалар, ақпараттық тақталар(әр бір объект үшін): төлемақы сомасы (айлық есептік көрсеткіш х ставка) – 0,5;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Көлемі 2 шаршы метрден 5 шаршы метрге дейін жарнамалық - ақпараттық объектілер: төлемақы сомасы (айлық есептік көрсеткіш х ставка) – 0,8;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Көлемі 5 шаршы метрден 10 шаршы метрге дейін жарнамалық - ақпараттық объектілер: төлемақы сомасы (айлық есептік көрсеткіш х ставка) – 1,7;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Көлемі 10 шаршы метрден 20 шаршы метрге дейін жарнамалық - ақпараттық объектілер: төлемақы сомасы (айлық есептік көрсеткіш х ставка) – 3,3;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Көлемі 20 шаршы метрден 30 шаршы метрге дейін жарнамалық - ақпараттық объектілер: төлемақы сомасы (айлық есептік көрсеткіш х ставка) – 5,0;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Көлемі 30 шаршы метрден 50 шаршы метрге дейін жарнамалық - ақпараттық объектілер: төлемақы сомасы (айлық есептік көрсеткіш х ставка) – 8,3;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Көлемі 50 шаршы метрден 70 шаршы метрге дейін жарнамалық - ақпараттық объектілер: төлемақы сомасы (айлық есептік көрсеткіш х ставка) – 11,7;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Көлемі 70 шаршы метрден жоғары жарнамалық - ақпараттық объектілер: төлемақы сомасы (айлық есептік көрсеткіш х ставка) – 16,7;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Палаткалардағы, тенттардағы, күркелердегі (шатралар), қолшатырлардағы, жалаулардағы, вымпелдардағы, штандарттағы жарнамалар: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9.1. Көлемі 5 шаршы метрге дейін: төлемақы сомасы (айлық есептік көрстеткіш х ставка) –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9.2. Көлемі 5 шаршы метрден 10 шаршы метрге дейін: төлемақы сомасы (айлық есептік көрсеткіш х ставка) – 0,7;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9.3. Көлемі 10 шаршы метрден жоғары: төлемақы сомасы (айлық есептік көрсеткіш х ставка) – 1,7;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Уақытша орнатылған дүңгіршектер мен павильондардағы жарнамалар: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10.1. Көлемі 2 шаршы метрге дейін: төлемақы сомасы (айлық есептік көрсеткіш х ставка) – 0,2;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10.2. Көлемі 2 шаршы метрден 5 шаршы метрге дейін: төлемақы сомасы (айлық есептік көрсеткіш х ставка) – 0,5;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10.3. Көлемі 5 шаршы метрден 10 шаршы метрге дейін: төлемақы сомасы (айлық есептік көрсеткіш х ставка) – 0,7;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10.4. Көлемі 10 шаршы метрден жоғары: төлемақы сомасы (айлық есептік көрсеткіш х ставка) – 1,7;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Автокөлік құралдарының сыртына орналастырылған жарнамалар (әр бір автокөлік үшін):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11.1. Автобустар, жүк автокөліктері және тағы басқа (жүк көтерімділігі 1,5 тоннадан жоғары): төлемақы сомасы (айлық есептік көрсеткіш х ставка) – 3,3;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11.2. Микроавтобустар, такси, жеңіл автокөліктер (жүк көтерімділігі 1,5 тоннаға дейін): төлемақы сомасы (айлық есептік көрсеткіш х ставка) – 0,8;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12) Тасымалданатын құрастырмалы жарнамалар (штендерлер): төлемақы сомасы (айлық есептік көрсеткіш х ставка) – 1,7.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 күннен кейін он күнтізбелік күн өткеннен кейін қолданысқа енгізіледі және Шығыс Қазақстан облысы Әділет департаменті Абай ауданының Әділет басқармасында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Сессия төрағасы:                             Б. Кәрібаев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    Т. Аманғазы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