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410c" w14:textId="37d4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табиғи қаумал аумағында жер учаскелерінің меншік иелері мен жер пайдаланушылардың шаруашылық қызметін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2008 жылғы 29 қазандағы № 362 қаулысы. Оңтүстік Қазақстан облысы Әділет департаментінде 2008 жылы 17 қарашада № 1999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122-бабына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68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69-бабтарына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 Ауыл шаруашылығы министрлігі Орман және аңшылық шаруашылығы комитеті Оңтүстік Қазақстан облыстық орман және аңшылық шаруашылығы аумақтық инспекциясының 2008 жылғы 20 маусымдағы № 9 хатына байланысты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аумағында орналасқан Ақдала, Жамбыл, Задария, Темір (ботаникалық) және Боралдай (кешенді) мемлекеттік табиғи қаумалдары аумағында жер учаскелерінің меншік иелері мен жер пайдаланушылардың шаруашылық қызметіне шектеулер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әкiмдiгiнiң 21.02.2022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бірінші орынбасары И. Ә. Әбішевке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облыстық орман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 аумақтық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бастығының міндетін атқарушы А-Б. Қыстаубаев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 аппаратының басшысы Б. Жылқышиев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 Ә. Бектаев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 У. Қайназаров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 Е. Сәдуақасова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 М. Тұрмағамбетов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басқармасының бастығы А. Бекетова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қаржы басқармасының бастығы Ы. Шалабаев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учаскелерінің меншік иелері мен жер пайдаланушылардың шаруашылық қызметін шектеулер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 түрлері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тиым салынатын мерзімі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Ақдала, Жамбыл, Задария және Темір мемлекеттік табиғи (ботаникалық) қаумалдары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Боралдай мемлекеттік табиғи (кешенді) қаумалы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жаюға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Дермене өсімдігін шабуға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Құнарлы жер қыртысын бүлдіруге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жағуға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 таралған пайдалы қазбаларды өндіруге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Құнарлы жер қыртысын бүлдіруге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жағуға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 таралған пайдалы қазбаларды өндіруге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Қазан-қараша жыл сайын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қаупі бар маусымда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қаупі бар маусымда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