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a6e" w14:textId="c592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бөлім оқушыларының қоғамдық көлікте (таксиден басқа) жеңілдікпен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2008 жылғы 19 желтоқсандағы N 178 шешімі. Қарағанды облысы Сәтбаев қаласы Әділет басқармасында 2008 жылғы 26 желтоқсанда N 8-6-73 тіркелді. Күші жойылды - Қарағанды облысы Сәтбаев қалалық мәслихатының 2010 жылғы 3 ақпандағы N 289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Сәтбаев қалалық мәслихатының 2010.02.03 N 289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туралы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көлік туралы" Қазақстан Республикасының 1994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көлікте (таксиден басқа) жеңілдікпен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 сыныптан сегізінші сыныпқа дейінгі оқушылары – тегін жүру (2009 жылдың 1 маусымынан 31 тамызына дейінгі жазғы уақыттан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Сәтбаев қаласының жалпы білім беру оқу орындарының тоғызыншы сыныптан он бірінші сыныпқа дейінгі оқушылары – белгіленген тарифтің 50% төлеумен (2009 жылдың 1 маусымынан 31 тамызына дейінгі жазғы уақыттан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 оқушылары – белгіленген тарифтің 50% төлеумен (2009 жылдың 1 шілдесінен 31 тамызына дейінгі жазғы уақыттан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Сәтбаев қаласының жалпы білім беру оқу орындарының, кәсіби мектептердің, колледж оқушыларының келесі санаттарына 2009 жылдың жазғы маусымына (2009 жылдың 1 маусымынан 31 тамызына дейін) қоғамдық көлікте (таксиден басқа) жеңілдікпен жүру сақталсын: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даму мүмкіндіктері шектеулі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 және бала кезінен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көпбалалы отбасыларынан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ата-анасының біреуінен айырылған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жалғызбасты аналардың балалары.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қалалық бюджеттен Қазақстан Республикасының Біріңғай бюджеттік сыныптамасының "Қоғамдық көлікте (таксиден басқа) жеңілдікпен жүру" 06.2.464.008.100 бағдарламасы бойынша қаржы бөлу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әлеуметтік сала, құқықтық тәртіп және әлеуметтік қорғау мәселелері жөніндегі тұрақты комиссияға жүктелсін (төрайымы Қоңырова Әлия Мешітбайқызы).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