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a409" w14:textId="761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2008 жылғы 20 қарашадағы N 47/2 қаулысы. Қарағанды облысы Теміртау қаласы Әділет басқармасында 2008 жылы 23 желтоқсанда N 8-3-67 тіркелді. Күші жойылды - Қарағанды облысы Теміртау қаласының әкімдігінің 2009 жылғы 03 қыркүйектегі N 35/16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Қарағанды облысы Теміртау қаласының әкімдігінің 2009.09.03 N 35/16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туралы", 1996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"Авторлық 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сабақтас құқықтар туралы"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N 367 және 2005 жылғы 21 сәуірдегі N 371 қаулыларына өзгертулер мен толықтырулар енгізу туралы" қаулысын орындау үшін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 мен Ақтау кентінде аудио-, аудиокөрнекі шығармалардың,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Серік Шәкірұлы Акеновке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алғаш рет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Бітебаев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