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257d" w14:textId="34a2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білімді мамандар даярлаудың 2008-2012 оқу жылдарына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2008 жылғы 21 шілдедегі N 22-834қ Қаулысы. Астана қаласының Әділет департаментінде 2008 жылғы 20 тамызда нормативтік құқықтық кесімдерді Мемлекеттік тіркеудің тізіліміне N 545 болып енгізілді. Күші жойылды - Астана қаласы әкімдігінің 2012 жылғы 30 мамырдағы № 107-657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2012.05.30 </w:t>
      </w:r>
      <w:r>
        <w:rPr>
          <w:rFonts w:ascii="Times New Roman"/>
          <w:b w:val="false"/>
          <w:i w:val="false"/>
          <w:color w:val="ff0000"/>
          <w:sz w:val="28"/>
        </w:rPr>
        <w:t>№ 107-657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(2012.07.01 бастап)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 жаңа редакцияда - Астана қаласы әкімдігінің 2011.06.16 </w:t>
      </w:r>
      <w:r>
        <w:rPr>
          <w:rFonts w:ascii="Times New Roman"/>
          <w:b w:val="false"/>
          <w:i w:val="false"/>
          <w:color w:val="ff0000"/>
          <w:sz w:val="28"/>
        </w:rPr>
        <w:t>N 22-543қ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27 шілдедегі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туралы </w:t>
      </w:r>
      <w:r>
        <w:rPr>
          <w:rFonts w:ascii="Times New Roman"/>
          <w:b w:val="false"/>
          <w:i w:val="false"/>
          <w:color w:val="000000"/>
          <w:sz w:val="28"/>
        </w:rPr>
        <w:t>" заңына, Қазақстан Республикасы Үкіметінің 2008 жылғы 28 наурыздағы N 296 "Техникалық және кәсіптік,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2008-2012 оқу жылдарына техникалық және кәсіптік, орта білімнен кейінгі білімді мамандар даярлауға арналған мемлекеттік білім беру тапсырысы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Астана қаласы әкімдігінің 2011.06.16 </w:t>
      </w:r>
      <w:r>
        <w:rPr>
          <w:rFonts w:ascii="Times New Roman"/>
          <w:b w:val="false"/>
          <w:i w:val="false"/>
          <w:color w:val="000000"/>
          <w:sz w:val="28"/>
        </w:rPr>
        <w:t>N 22-543қ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 (бұдан әрі - Басқарма) белгіленген тәртіппен жергілікті бюджеттен қаржыландырылатын техникалық және кәсіптік білім беру мекемелерінде техникалық және кәсіптік, орта білімнен кейінгі білімді мамандар даярлауға бекітілген 2008-2012 оқу жылдарына арналған мемлекеттік білім беру тапсырысын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Астана қаласы әкімдігінің 2011.06.16 </w:t>
      </w:r>
      <w:r>
        <w:rPr>
          <w:rFonts w:ascii="Times New Roman"/>
          <w:b w:val="false"/>
          <w:i w:val="false"/>
          <w:color w:val="000000"/>
          <w:sz w:val="28"/>
        </w:rPr>
        <w:t>N 22-543қ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Басқарма осы қаулыны әділет органдарында мемлекеттік тіркеуді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Астана қаласы әкімінің орынбасары Ә.М. Рахымжановқа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мемлекеттік тіркелген күнінен бастап күшіне енеді және ресми жарияланған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                                И. Тасмағамбетов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2008 жылғы 21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22-834қ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және кәсіптік, орта білімнен кейінгі білімді мамандар даярлаудың 2008-2012 оқу жылдарына арналған мемлекеттік білім беру тапсырысы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жаңа редакцияда - Астана қаласы әкімдігінің 2011.06.16 </w:t>
      </w:r>
      <w:r>
        <w:rPr>
          <w:rFonts w:ascii="Times New Roman"/>
          <w:b w:val="false"/>
          <w:i w:val="false"/>
          <w:color w:val="ff0000"/>
          <w:sz w:val="28"/>
        </w:rPr>
        <w:t>N 22-543қ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3653"/>
        <w:gridCol w:w="1533"/>
        <w:gridCol w:w="1393"/>
        <w:gridCol w:w="1413"/>
        <w:gridCol w:w="1393"/>
        <w:gridCol w:w="1513"/>
      </w:tblGrid>
      <w:tr>
        <w:trPr>
          <w:trHeight w:val="45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білімді,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Оқушыларды қабылдау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Политехникалық колледж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терлік есеп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(сала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0829002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мен туристік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кешендердің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көрсетуін 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0829022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0833002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тамақтан-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кәсіпорындар-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 қызмет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туді ұйымдастыру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3002032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автоматтанды-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жүйелерді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құрылыстарды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пайдалану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4304002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көрініс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дизайні,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Гуманитарлық колледж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оқымайтын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 қазақ тілі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әдебиеті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0314012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мұғалімі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0314022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берудегі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пәні мұғалімі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0314032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берудегі шет тілі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пәнінің мұғалімі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сызу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Саздық білім беру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колледжі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терлік есеп 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(салалар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Көтергіш-көліктік,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құрал-жабдықтарды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жөндеу,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құрамын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және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лану,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3831002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лермен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(салалар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7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4331002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салу,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және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аэродромдар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азық-түлік өнімдерінің технологиясы және оларды стандарттау колледжі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терлік есеп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(салалар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Стандарттау, сертификаттау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Астықты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 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ұйымдастырылуы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орман-бақ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колледжі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0401012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ісі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 ісі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ісі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институтының колледжі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0664002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(салалар бойынша)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4123002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модельдеу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конструкциялау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