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db68" w14:textId="27dd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247 Қаулысы. Қазақстан Республикасының Әділет министрлігінде 2009 жылғы 26 қаңтарда Нормативтік құқықтық кесімдерді мемлекеттік тіркеудің тізіліміне N 5514 болып енгізілді.</w:t>
      </w:r>
    </w:p>
    <w:p>
      <w:pPr>
        <w:spacing w:after="0"/>
        <w:ind w:left="0"/>
        <w:jc w:val="both"/>
      </w:pPr>
      <w:bookmarkStart w:name="z1" w:id="0"/>
      <w:r>
        <w:rPr>
          <w:rFonts w:ascii="Times New Roman"/>
          <w:b w:val="false"/>
          <w:i w:val="false"/>
          <w:color w:val="000000"/>
          <w:sz w:val="28"/>
        </w:rPr>
        <w:t xml:space="preserve">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Қаржы нарығын және қаржы ұйымдарын реттеу мен қадағалау агенттігі басқармасының 2009.09.26 N 215 (қолданысқа</w:t>
      </w:r>
      <w:r>
        <w:rPr>
          <w:rFonts w:ascii="Times New Roman"/>
          <w:b w:val="false"/>
          <w:i w:val="false"/>
          <w:color w:val="ff0000"/>
          <w:sz w:val="28"/>
        </w:rPr>
        <w:t xml:space="preserve">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5. Бағалы қағаздар рыногының субъектілерін және жинақтаушы зейнетақы қорларын қадағалау департаменті (Хаджиева М.Ж.):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6.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