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db68" w14:textId="27dd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247 Қаулысы. Қазақстан Республикасының Әділет министрлігінде 2009 жылғы 26 қаңтарда Нормативтік құқықтық кесімдерді мемлекеттік тіркеудің тізіліміне N 5514 болып енгізілді.</w:t>
      </w:r>
    </w:p>
    <w:p>
      <w:pPr>
        <w:spacing w:after="0"/>
        <w:ind w:left="0"/>
        <w:jc w:val="both"/>
      </w:pPr>
      <w:bookmarkStart w:name="z1" w:id="0"/>
      <w:r>
        <w:rPr>
          <w:rFonts w:ascii="Times New Roman"/>
          <w:b w:val="false"/>
          <w:i w:val="false"/>
          <w:color w:val="000000"/>
          <w:sz w:val="28"/>
        </w:rPr>
        <w:t xml:space="preserve">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Қаржы нарығын және қаржы ұйымдарын реттеу мен қадағалау агенттігі басқармасының 2009.09.26 N 215 (қолданысқа</w:t>
      </w:r>
      <w:r>
        <w:rPr>
          <w:rFonts w:ascii="Times New Roman"/>
          <w:b w:val="false"/>
          <w:i w:val="false"/>
          <w:color w:val="ff0000"/>
          <w:sz w:val="28"/>
        </w:rPr>
        <w:t xml:space="preserve">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Бағалы қағаздар рыногының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