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9cd5" w14:textId="17f9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N 7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174 Қаулысы. Қазақстан Республикасының Әділет министрлігінде 2008 жылғы 10 желтоқсанда Нормативтік құқықтық кесімдерді мемлекеттік тіркеудің тізіліміне N 5397 болып енгізілді. Күші жойылды - Қазақстан Республикасының Ұлттық Банкі Басқармасының 2012 жылғы 24 ақпандағы № 67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N 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актілерін мемлекеттік тіркеу тізілімінде N 5165 тіркелген) мынадай толықтыру мен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4-тармақтың бірінші абзацы "7" деген цифрлардан кейін ", 7-1" деген цифрлармен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7-тармақтың үшінші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 Ұлттық Банкке, екінші деңгейдегі банктерге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