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42eb" w14:textId="4e74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актілерге толықтырулар мен өзгерістер енгізу туралы" 2007 жылғы 30 наурыздағы N 76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6 Қаулысы. Қазақстан Республикасының Әділет министрлігінде 2008 жылғы 7 наурызда Нормативтік құқықтық кесімдерді мемлекеттік тіркеудің тізіліміне N 5164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Екінші деңгейдегі банктердің, сақтандыру (қайта сақтандыру) ұйымдардың, ашық жинақтаушы зейнетақы қорлардың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Агенттік Басқармасының»"Қазақстан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актілерге толықтырулар мен өзгерістер енгізу туралы" 2007 жылғы 30 наурыздағы N 76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4670 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актілерге толықтырулар мен өзгерістер енгізу туралы" 2007 жылғы 25 маусымдағы N 190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4850 тіркелген) енгізілген өзгеріспен бірге мынадай өзгеріс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6, 9, 10, 12, 13, 14 тармақтар алынып тасталсын.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2008 жылғы 1 наурыздан бастап туындаған қатынастарға таратылады.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Төрайымы Е.Л. Бахмутоваға жүктелсін. </w:t>
      </w:r>
    </w:p>
    <w:bookmarkEnd w:id="6"/>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