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83b2" w14:textId="0218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2006 жылғы 27 қазандағы N 223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25 қаңтардағы N 4 Қаулысы. Қазақстан Республикасының Әділет министрлігінде 2008 жылғы 6 наурызда Нормативтік құқықтық кесімдерді мемлекеттік тіркеудің тізіліміне N 5161 болып енгізілді. Күші жойылды - Қазақстан Республикасы Қаржы нарығын және қаржы ұйымдарын реттеу мен қадағалау агенттігі Басқармасының 2008 жылғы 22 тамыздағы N 118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57-бабына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туралы" Қазақстан Республикасының 2003 жылғы 2 шілдедегі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49-бабының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3-тармағына, "Қаржы рыногы мен қаржылық ұйымдарды мемлекеттік реттеу және қадағалау туралы" Қазақстан Республикасы 2003 жылғы 4 шілдедегі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1-тармағының 5) тармақшасына сәйкес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118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Агенттік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2006 жылғы 27 қазандағы N 223 қаулысына өзгерістер мен толықтырулар енгізу туралы" 2008 жылғы 25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5161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активтерін инвестициялық басқару жөніндегі қызметті жүзеге асыратын ұйымдар қызметін пруденциалдық реттеу мәселелері жөніндегі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2006 жылғы 27 қазандағы N 223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4480 тіркелген), Агенттік Басқармасының "Жинақтаушы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кейбір нормативтік құқықтық кесімдеріне толықтырулар мен өзгерістер енгізу туралы" 2007 жылғы 23 ақпандағы N 40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4608 тіркелген, Қазақстан Республикасының орталық атқарушы және өзге де мемлекеттік органдардың нормативтік құқықтық актілері бюллетенінде жарияланған, 2007 жыл, N 5, 255-құжат), "Қазақстан Республикасының кейбір нормативтік құқтық актілеріне бағалы қағаздар рыногының кәсіби қатысушыларын және жинақтаушы зейнетақы қорларын реттеу және қадағалау мәселелері бойынша өзгерістер мен толықтырулар енгізу туралы" 2007 жылғы 16 шілдедегі N 211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4900 тіркелген) енгізілген өзгерістермен және толықтырулармен бірге мынадай өзгерістер мен толықтырулар енгізілсін:
</w:t>
      </w:r>
      <w:r>
        <w:br/>
      </w:r>
      <w:r>
        <w:rPr>
          <w:rFonts w:ascii="Times New Roman"/>
          <w:b w:val="false"/>
          <w:i w:val="false"/>
          <w:color w:val="000000"/>
          <w:sz w:val="28"/>
        </w:rPr>
        <w:t>
      аталған қаулымен бекітілген Зейнетақы активтерін инвестициялық басқаруды жүзеге асыратын ұйымдарға арналған пруденциалдық нормативтердің нормативтік маңызы, олардың есебінің әдістемесі туралы нұсқаулықта: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он алтыншы абзацы "және бағалы металдардың" деген сөздерден кейін "қолма-қол шетел валютасындағы"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3) тармақшада ""Standard &amp; Poor's"-тің ұлттық шәкілі бойынша" деген сөздерден кейін" немесе басқа рейтинг агенттіктерінің бірінің осыған ұқсас деңгейдегі рейтингі" деген сөздермен толықтырылсын;
</w:t>
      </w:r>
      <w:r>
        <w:br/>
      </w:r>
      <w:r>
        <w:rPr>
          <w:rFonts w:ascii="Times New Roman"/>
          <w:b w:val="false"/>
          <w:i w:val="false"/>
          <w:color w:val="000000"/>
          <w:sz w:val="28"/>
        </w:rPr>
        <w:t>
      13) тармақшада:
</w:t>
      </w:r>
      <w:r>
        <w:br/>
      </w:r>
      <w:r>
        <w:rPr>
          <w:rFonts w:ascii="Times New Roman"/>
          <w:b w:val="false"/>
          <w:i w:val="false"/>
          <w:color w:val="000000"/>
          <w:sz w:val="28"/>
        </w:rPr>
        <w:t>
      ""Standard &amp; Poor's"-тің ұлттық шәкілі бойынша" деген сөздерден кейін" немесе басқа рейтинг агенттіктерінің бірінің осыған ұқсас деңгейдегі рейтингі" деген сөздермен толықтырылсын;
</w:t>
      </w:r>
      <w:r>
        <w:br/>
      </w:r>
      <w:r>
        <w:rPr>
          <w:rFonts w:ascii="Times New Roman"/>
          <w:b w:val="false"/>
          <w:i w:val="false"/>
          <w:color w:val="000000"/>
          <w:sz w:val="28"/>
        </w:rPr>
        <w:t>
      "Қазақстан Республикасындағы "Standard &amp; Poor's"-тің ұлттық шәкілі бойынша" деген сөздер ""Standard &amp; Poor's"-тің ұлттық шәкілі бойынша немесе басқа рейтинг агенттіктерінің бірінің осыған ұқсас деңгейдегі рейтингі"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К
</w:t>
      </w:r>
      <w:r>
        <w:rPr>
          <w:rFonts w:ascii="Times New Roman"/>
          <w:b w:val="false"/>
          <w:i w:val="false"/>
          <w:color w:val="000000"/>
          <w:vertAlign w:val="subscript"/>
        </w:rPr>
        <w:t>
2
</w:t>
      </w:r>
      <w:r>
        <w:rPr>
          <w:rFonts w:ascii="Times New Roman"/>
          <w:b w:val="false"/>
          <w:i w:val="false"/>
          <w:color w:val="000000"/>
          <w:sz w:val="28"/>
        </w:rPr>
        <w:t>
 коэффициентін Ұйым тек зейнетақы активтерi осы немесе басқа ұйымдарда жиырма, отыз алты, алпыс және одан көп ай ішінде инвестициялық басқаруда болған қорларға ғана қатысты аталған мерзiм iшiнде есептейдi.";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26-тармақтың бесінші абзацындағы "бір-үш пайызға" деген сөздер "үштен аспайтын пайызға" деген сөздермен, "үш айдан аспайтын" деген сөздер "осы Нұсқаулықтың 30-тармағының талаптарын ескеріп, алпыс күннен аспайтын"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
</w:t>
      </w:r>
      <w:r>
        <w:br/>
      </w:r>
      <w:r>
        <w:rPr>
          <w:rFonts w:ascii="Times New Roman"/>
          <w:b w:val="false"/>
          <w:i w:val="false"/>
          <w:color w:val="000000"/>
          <w:sz w:val="28"/>
        </w:rPr>
        <w:t>
      "26-1. Ұйымның Қазақстан Республикасының резиденті болып табылатын және Алматы қаласы Өңірлік Қаржы Орталығының арнайы сауда алаңының ресми тізімін қоспағандағы және меншікті және зейнетақы активтері есебінен сауда-саттықты ұйымдастырушының ресми тізіміне енгізілген басқарушы компанияның аралық пай инвестициялық қорының пайларына салатын инвестициясының жиынтықты мөлшері мынадай мәндерден аспауы тиіс:
</w:t>
      </w:r>
      <w:r>
        <w:br/>
      </w:r>
      <w:r>
        <w:rPr>
          <w:rFonts w:ascii="Times New Roman"/>
          <w:b w:val="false"/>
          <w:i w:val="false"/>
          <w:color w:val="000000"/>
          <w:sz w:val="28"/>
        </w:rPr>
        <w:t>
      зейнетақы активтері есебінен - әрбір фонд активтерінің он пайызынан артық емес;
</w:t>
      </w:r>
      <w:r>
        <w:br/>
      </w:r>
      <w:r>
        <w:rPr>
          <w:rFonts w:ascii="Times New Roman"/>
          <w:b w:val="false"/>
          <w:i w:val="false"/>
          <w:color w:val="000000"/>
          <w:sz w:val="28"/>
        </w:rPr>
        <w:t>
      меншікті активтер есебінен - әрбір фонд активтерінің он пайызынан артық емес;
</w:t>
      </w:r>
      <w:r>
        <w:br/>
      </w:r>
      <w:r>
        <w:rPr>
          <w:rFonts w:ascii="Times New Roman"/>
          <w:b w:val="false"/>
          <w:i w:val="false"/>
          <w:color w:val="000000"/>
          <w:sz w:val="28"/>
        </w:rPr>
        <w:t>
      жиынтықты түрде - осы аралық пай инвестициялық қорының активтерінің он пайызынан артық емес.
</w:t>
      </w:r>
      <w:r>
        <w:br/>
      </w:r>
      <w:r>
        <w:rPr>
          <w:rFonts w:ascii="Times New Roman"/>
          <w:b w:val="false"/>
          <w:i w:val="false"/>
          <w:color w:val="000000"/>
          <w:sz w:val="28"/>
        </w:rPr>
        <w:t>
      Ұйымның "BBBm-"-дан кем емес "Standard &amp; Poor's principal stability fund ratings" не "BBBf-"-дан кем емес "Standard &amp; Poor's principal stability fund ratings" халықаралық рейтинг бағасы бар инвестициялық қордың пайына салынған инвестициясының жиынтық мөлшері мынадай мәндерден аспауы тиіс:
</w:t>
      </w:r>
      <w:r>
        <w:br/>
      </w:r>
      <w:r>
        <w:rPr>
          <w:rFonts w:ascii="Times New Roman"/>
          <w:b w:val="false"/>
          <w:i w:val="false"/>
          <w:color w:val="000000"/>
          <w:sz w:val="28"/>
        </w:rPr>
        <w:t>
      зейнетақы активтері есебінен - әрбір фонд активтерінің он пайызынан артық емес;
</w:t>
      </w:r>
      <w:r>
        <w:br/>
      </w:r>
      <w:r>
        <w:rPr>
          <w:rFonts w:ascii="Times New Roman"/>
          <w:b w:val="false"/>
          <w:i w:val="false"/>
          <w:color w:val="000000"/>
          <w:sz w:val="28"/>
        </w:rPr>
        <w:t>
      меншікті активтер есебінен - Ұйымның меншікті активтерінің он бес пайызынан артық емес;
</w:t>
      </w:r>
      <w:r>
        <w:br/>
      </w:r>
      <w:r>
        <w:rPr>
          <w:rFonts w:ascii="Times New Roman"/>
          <w:b w:val="false"/>
          <w:i w:val="false"/>
          <w:color w:val="000000"/>
          <w:sz w:val="28"/>
        </w:rPr>
        <w:t>
      жиынтықты түрде - осы инвестициялық қорының активтерінің он пайызынан артық емес.";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30-тармақтағы "банктің" деген сөзден кейін "ашық жинақтаушы зейнетақы қорының сақтандыру (қайта сақтандыру) ұйымының"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33-тармақтың бірінші сөйлеміндегі "оны алмастыратын тұлға, бас бухгалтер, сондай-ақ Ұйымның ішкі құжаттарына сәйкес көрсетілген ақпараттарға қол қою құқығына ие адам" деген сөздер "есепке қол қоюға уәкілетті, бас бухгалтер"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"Кредиттік тәуекел" кестесіндегі: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1193"/>
        <w:gridCol w:w="1213"/>
        <w:gridCol w:w="1413"/>
      </w:tblGrid>
      <w:tr>
        <w:trPr>
          <w:trHeight w:val="450" w:hRule="atLeast"/>
        </w:trPr>
        <w:tc>
          <w:tcPr>
            <w:tcW w:w="8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активтері индекс болып табылатын
</w:t>
            </w:r>
            <w:r>
              <w:br/>
            </w:r>
            <w:r>
              <w:rPr>
                <w:rFonts w:ascii="Times New Roman"/>
                <w:b w:val="false"/>
                <w:i w:val="false"/>
                <w:color w:val="000000"/>
                <w:sz w:val="20"/>
              </w:rPr>
              <w:t>
фьючерс, опцион, своп, форвард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1193"/>
        <w:gridCol w:w="1253"/>
        <w:gridCol w:w="1393"/>
      </w:tblGrid>
      <w:tr>
        <w:trPr>
          <w:trHeight w:val="450" w:hRule="atLeast"/>
        </w:trPr>
        <w:tc>
          <w:tcPr>
            <w:tcW w:w="8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активтері индекс болып табылатын
</w:t>
            </w:r>
            <w:r>
              <w:br/>
            </w:r>
            <w:r>
              <w:rPr>
                <w:rFonts w:ascii="Times New Roman"/>
                <w:b w:val="false"/>
                <w:i w:val="false"/>
                <w:color w:val="000000"/>
                <w:sz w:val="20"/>
              </w:rPr>
              <w:t>
фьючерс, опцион, своп, форвард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3"/>
        <w:gridCol w:w="1273"/>
        <w:gridCol w:w="1233"/>
        <w:gridCol w:w="1353"/>
      </w:tblGrid>
      <w:tr>
        <w:trPr>
          <w:trHeight w:val="450" w:hRule="atLeast"/>
        </w:trPr>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активтері индекс болып табылатын
</w:t>
            </w:r>
            <w:r>
              <w:br/>
            </w:r>
            <w:r>
              <w:rPr>
                <w:rFonts w:ascii="Times New Roman"/>
                <w:b w:val="false"/>
                <w:i w:val="false"/>
                <w:color w:val="000000"/>
                <w:sz w:val="20"/>
              </w:rPr>
              <w:t>
фьючерс, опцион, своп, форвард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деген жолдар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барлық мәтіні бойынша "Standard &amp; Poor's ұлттық шәкілі бойынша" деген сөздерден кейін "немесе басқа рейтинг агенттіктерінің бірінің осыған ұқсас деңгейдегі рейтингі"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кестені толтыру жөніндегі түсіндірулерде:
</w:t>
      </w:r>
      <w:r>
        <w:br/>
      </w:r>
      <w:r>
        <w:rPr>
          <w:rFonts w:ascii="Times New Roman"/>
          <w:b w:val="false"/>
          <w:i w:val="false"/>
          <w:color w:val="000000"/>
          <w:sz w:val="28"/>
        </w:rPr>
        <w:t>
      мынадай мазмұндағы бесінші-он бірінші абзацтармен толықтырылсын:
</w:t>
      </w:r>
      <w:r>
        <w:br/>
      </w:r>
      <w:r>
        <w:rPr>
          <w:rFonts w:ascii="Times New Roman"/>
          <w:b w:val="false"/>
          <w:i w:val="false"/>
          <w:color w:val="000000"/>
          <w:sz w:val="28"/>
        </w:rPr>
        <w:t>
      "Cвоп, фьючерс, опцион және форвард операциялары бойынша кредиттік тәуекел осы Нұсқаулықтың 1-1-қосымшасында көрсетілген қаржы құралдарының кредиттік тәуекел коэффициентіне номиналды құнды жүргізуі және аталған қаржы құралдарын өтеу мерзімін анықтау ретінде есептеледі.
</w:t>
      </w:r>
      <w:r>
        <w:br/>
      </w:r>
      <w:r>
        <w:rPr>
          <w:rFonts w:ascii="Times New Roman"/>
          <w:b w:val="false"/>
          <w:i w:val="false"/>
          <w:color w:val="000000"/>
          <w:sz w:val="28"/>
        </w:rPr>
        <w:t>
      Осы тармақта аталған қаржы құралдарының (өтеу құны) рыноктық құны мынаны білдіреді:
</w:t>
      </w:r>
      <w:r>
        <w:br/>
      </w:r>
      <w:r>
        <w:rPr>
          <w:rFonts w:ascii="Times New Roman"/>
          <w:b w:val="false"/>
          <w:i w:val="false"/>
          <w:color w:val="000000"/>
          <w:sz w:val="28"/>
        </w:rPr>
        <w:t>
      сатып алу мәмілесі бойынша - осы қаржы құралының ағымдағы рыноктық құнының осы қаржы құралының номиналдық келісім-шарттық құнынан артып кету шегін білдіреді. Егер қаржы құралының ағымдағы рыноктық құны оның номиналдық келісім-шарттық құнынан кем немесе тең болса, онда өтеу құны нөлге тең болады;
</w:t>
      </w:r>
      <w:r>
        <w:br/>
      </w:r>
      <w:r>
        <w:rPr>
          <w:rFonts w:ascii="Times New Roman"/>
          <w:b w:val="false"/>
          <w:i w:val="false"/>
          <w:color w:val="000000"/>
          <w:sz w:val="28"/>
        </w:rPr>
        <w:t>
      сату мәмілесі бойынша - осы қаржы құралының номиналдық келісім-шарттық құнының осы қаржы құралының ағымдағы рыноктық құнынан артып кету шегін білдіреді. Егер қаржы құралының номиналдық келісім-шарттық құны оның ағымдағы рыноктық құнынан кем немесе тең болса, онда өтеу құны нөлге тең болады.
</w:t>
      </w:r>
      <w:r>
        <w:br/>
      </w:r>
      <w:r>
        <w:rPr>
          <w:rFonts w:ascii="Times New Roman"/>
          <w:b w:val="false"/>
          <w:i w:val="false"/>
          <w:color w:val="000000"/>
          <w:sz w:val="28"/>
        </w:rPr>
        <w:t>
      Бивалюталық қаржы құралдары бойынша (талап етуі мен міндеттемесі әртүрлі шетел валюталарында көрсетілген қаржы құралдары бойынша) өтеу құны есеп беру жасалған күнгі бағам бойынша белгіленген талап етудің теңгелік бағамының міндеттемелердің теңгелік бағамынан артып кету шегі ретінде анықталады. Егер талап етудің теңгелік бағамы міндеттемелердің теңгелік бағамының шегі міндеттемелердің теңгелік бағамынан кем немесе тең болса, онда өтеу құны нөлге тең болады.
</w:t>
      </w:r>
      <w:r>
        <w:br/>
      </w:r>
      <w:r>
        <w:rPr>
          <w:rFonts w:ascii="Times New Roman"/>
          <w:b w:val="false"/>
          <w:i w:val="false"/>
          <w:color w:val="000000"/>
          <w:sz w:val="28"/>
        </w:rPr>
        <w:t>
      Осы тармақта көрсетілген қаржы құралдарының номиналдық келісім-шарттық құны бухгалтерлік есептің тиісті шоттарында мәміле жасалған күні көрсетілген қаржы құралдарының құнын білдіреді. Бивалюталық қаржы құралдарының номиналдық келісім-шарттық құны үшін Ұйымның қалыптасқан талап ету валютасы алынады.
</w:t>
      </w:r>
      <w:r>
        <w:br/>
      </w:r>
      <w:r>
        <w:rPr>
          <w:rFonts w:ascii="Times New Roman"/>
          <w:b w:val="false"/>
          <w:i w:val="false"/>
          <w:color w:val="000000"/>
          <w:sz w:val="28"/>
        </w:rPr>
        <w:t>
      Сатылған опциондар бойынша өтеу құны есептелмейді.";
</w:t>
      </w:r>
      <w:r>
        <w:br/>
      </w:r>
      <w:r>
        <w:rPr>
          <w:rFonts w:ascii="Times New Roman"/>
          <w:b w:val="false"/>
          <w:i w:val="false"/>
          <w:color w:val="000000"/>
          <w:sz w:val="28"/>
        </w:rPr>
        <w:t>
      жетінші абзацтағы "ең жоғары рейтинг бағасы" деген сөздер "ұлттық шәкіл бойынша рейтинг бағасы"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қаулының қосымшасына сәйкес 1-1-қосымшасымен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5-қосымшаның 12-жолында:
</w:t>
      </w:r>
      <w:r>
        <w:br/>
      </w:r>
      <w:r>
        <w:rPr>
          <w:rFonts w:ascii="Times New Roman"/>
          <w:b w:val="false"/>
          <w:i w:val="false"/>
          <w:color w:val="000000"/>
          <w:sz w:val="28"/>
        </w:rPr>
        <w:t>
      "Standard &amp; Poor's" ұлттық шәкілі бойынша" деген сөздерден кейін "немесе басқа рейтинг агенттіктерінің бірінің осыған ұқсас деңгейдегі рейтингі" деген сөздермен толықтырылсын;
</w:t>
      </w:r>
      <w:r>
        <w:br/>
      </w:r>
      <w:r>
        <w:rPr>
          <w:rFonts w:ascii="Times New Roman"/>
          <w:b w:val="false"/>
          <w:i w:val="false"/>
          <w:color w:val="000000"/>
          <w:sz w:val="28"/>
        </w:rPr>
        <w:t>
      "Қазақстан Республикасының Standard &amp; Poor's ұлттық шәкілі бойынша" деген сөздер "Standard &amp; Poor's" ұлттық шәкілі бойынша" немесе басқа рейтинг агенттіктерінің бірінің осыған ұқсас деңгейдегі рейтингі,"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6-қосымшаның 8013 жолы "Standard &amp; Poor's" ұлттық шәкілі бойынша" деген сөздерден кейін "немесе басқа рейтинг агенттіктерінің бірінің осыған ұқсас деңгейдегі рейтингі"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 3, 4-1, 5 және 6-қосымшаларындағы "Басшы" деген сөз "Бірінші басшы немесе есепке қол қоюға уәкілетті тұлға"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4-қосымшадағы "Бірінші басшы" деген сөздерден кейін "немесе есепке қол қоюға уәкілетті тұлға"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Зейнетақы активтерін инвестициялық басқаруды жүзеге асыратын ұйымдар мен зейнетақы активтері осы ұйымда инвестициялық басқаруда тұрған жинақтаушы зейнетақы қорлары аталған ұйымдар мен жинақтаушы зейнетақы қоры арасында олардың 2008 жылғы 1 сәуірдегі жағдай бойынша есептелген зейнетақы активтерінің шартты бірлігі құнының мәнін актіде белгілейді.
</w:t>
      </w:r>
      <w:r>
        <w:br/>
      </w:r>
      <w:r>
        <w:rPr>
          <w:rFonts w:ascii="Times New Roman"/>
          <w:b w:val="false"/>
          <w:i w:val="false"/>
          <w:color w:val="000000"/>
          <w:sz w:val="28"/>
        </w:rPr>
        <w:t>
      Зейнетақы активтерін инвестициялық басқаруды дербес жүзеге асыратын жинақтаушы зейнетақы қорлары зейнетақы активтерін инвестициялық басқаруды жүзеге асыратын ұйым және 2008 жылғы 1 сәуірдегі жағдай бойынша жинақтаушы зейнетақы қоры ретінде олардың есептелген зейнетақы активтерінің шартты бірлігі құнының мәнін актіде белгілейді.
</w:t>
      </w:r>
      <w:r>
        <w:br/>
      </w:r>
      <w:r>
        <w:rPr>
          <w:rFonts w:ascii="Times New Roman"/>
          <w:b w:val="false"/>
          <w:i w:val="false"/>
          <w:color w:val="000000"/>
          <w:sz w:val="28"/>
        </w:rPr>
        <w:t>
      Зейнетақы активтерін инвестициялық басқаруды жүзеге асыратын ұйымдар және зейнетақы активтерін инвестициялық басқаруды дербес жүзеге асыратын жинақтаушы зейнетақы қорлар аталған тармақта көрсетілген актілерді 2008 жылғы 1 мамырға дейінгі мерзімде Агенттікке ұсынады.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Зейнетақы активтерін инвестициялық басқаруды жүзеге асыратын ұйымда (зейнетақы активтерін инвестициялық басқаруды дербес жүзеге асыратын жинақтаушы зейнетақы қоры) және 2008 жылғы 1 сәуірдегі жағдай бойынша жинақтаушы зейнетақы қорында есептелген жинақтаушы зейнетақы қорының зейнетақы активтерінің бір шартты бірлігі құнының мәнінде алшақтықтар кеткен жағдайда зейнетақы активтерін инвестициялық басқаруды жүзеге асыратын ұйым (зейнетақы активтерін инвестициялық басқаруды дербес жүзеге асыратын жинақтаушы зейнетақы қоры) 2008 жылғы 1 сәуірден бастап жинақтаушы зейнетақы қорының аталған күнге есептелген зейнетақы активтерінің бір шартты бірлігі құнының мәнін есепке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Стратегия және талдау департаменті (Г.А. Ділімбетова):
</w:t>
      </w:r>
      <w:r>
        <w:br/>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 қауымдастығы" заңды тұлғалар бірлестігіне мәлімет үшін жіберсін.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Агенттіктің Төрайымының қызметі осы қаулыны Қазақстан Республикасының бұқаралық баспасөз құралдарында жариялау шараларын қабылдасын.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Төрайым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w:t>
      </w:r>
      <w:r>
        <w:br/>
      </w:r>
      <w:r>
        <w:rPr>
          <w:rFonts w:ascii="Times New Roman"/>
          <w:b w:val="false"/>
          <w:i w:val="false"/>
          <w:color w:val="000000"/>
          <w:sz w:val="28"/>
        </w:rPr>
        <w:t>
                                  және қаржы ұйымдарын реттеу мен
</w:t>
      </w:r>
      <w:r>
        <w:br/>
      </w:r>
      <w:r>
        <w:rPr>
          <w:rFonts w:ascii="Times New Roman"/>
          <w:b w:val="false"/>
          <w:i w:val="false"/>
          <w:color w:val="000000"/>
          <w:sz w:val="28"/>
        </w:rPr>
        <w:t>
                                 қадағалау агенттігі Басқармасының
</w:t>
      </w:r>
      <w:r>
        <w:br/>
      </w:r>
      <w:r>
        <w:rPr>
          <w:rFonts w:ascii="Times New Roman"/>
          <w:b w:val="false"/>
          <w:i w:val="false"/>
          <w:color w:val="000000"/>
          <w:sz w:val="28"/>
        </w:rPr>
        <w:t>
                                   2008 жылғы 25 қаңтардағы N 4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"Зейнетақы активтерін инвестициялық
</w:t>
      </w:r>
      <w:r>
        <w:br/>
      </w:r>
      <w:r>
        <w:rPr>
          <w:rFonts w:ascii="Times New Roman"/>
          <w:b w:val="false"/>
          <w:i w:val="false"/>
          <w:color w:val="000000"/>
          <w:sz w:val="28"/>
        </w:rPr>
        <w:t>
                                басқаруды жүзеге асыратын ұйымдарға
</w:t>
      </w:r>
      <w:r>
        <w:br/>
      </w:r>
      <w:r>
        <w:rPr>
          <w:rFonts w:ascii="Times New Roman"/>
          <w:b w:val="false"/>
          <w:i w:val="false"/>
          <w:color w:val="000000"/>
          <w:sz w:val="28"/>
        </w:rPr>
        <w:t>
                               арналған пруденциалдық нормативтердің
</w:t>
      </w:r>
      <w:r>
        <w:br/>
      </w:r>
      <w:r>
        <w:rPr>
          <w:rFonts w:ascii="Times New Roman"/>
          <w:b w:val="false"/>
          <w:i w:val="false"/>
          <w:color w:val="000000"/>
          <w:sz w:val="28"/>
        </w:rPr>
        <w:t>
                                нормативтік маңызы, олардың есебінің
</w:t>
      </w:r>
      <w:r>
        <w:br/>
      </w:r>
      <w:r>
        <w:rPr>
          <w:rFonts w:ascii="Times New Roman"/>
          <w:b w:val="false"/>
          <w:i w:val="false"/>
          <w:color w:val="000000"/>
          <w:sz w:val="28"/>
        </w:rPr>
        <w:t>
                                    әдістемесі туралы нұсқаулықтың
</w:t>
      </w:r>
      <w:r>
        <w:br/>
      </w:r>
      <w:r>
        <w:rPr>
          <w:rFonts w:ascii="Times New Roman"/>
          <w:b w:val="false"/>
          <w:i w:val="false"/>
          <w:color w:val="000000"/>
          <w:sz w:val="28"/>
        </w:rPr>
        <w:t>
                                            1-1-қосымшасы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Туынды қаржы құралдарымен мәмілелер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кредиттік тәуекел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493"/>
        <w:gridCol w:w="1313"/>
        <w:gridCol w:w="1673"/>
        <w:gridCol w:w="1713"/>
        <w:gridCol w:w="1573"/>
        <w:gridCol w:w="1413"/>
      </w:tblGrid>
      <w:tr>
        <w:trPr>
          <w:trHeight w:val="1080" w:hRule="atLeast"/>
        </w:trPr>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Валюталау күніне дейінгі
</w:t>
            </w:r>
            <w:r>
              <w:br/>
            </w:r>
            <w:r>
              <w:rPr>
                <w:rFonts w:ascii="Times New Roman"/>
                <w:b w:val="false"/>
                <w:i w:val="false"/>
                <w:color w:val="000000"/>
                <w:sz w:val="20"/>
              </w:rPr>
              <w:t>
мерзім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дармен
</w:t>
            </w:r>
            <w:r>
              <w:br/>
            </w:r>
            <w:r>
              <w:rPr>
                <w:rFonts w:ascii="Times New Roman"/>
                <w:b w:val="false"/>
                <w:i w:val="false"/>
                <w:color w:val="000000"/>
                <w:sz w:val="20"/>
              </w:rPr>
              <w:t>
мәмі-
</w:t>
            </w:r>
            <w:r>
              <w:br/>
            </w:r>
            <w:r>
              <w:rPr>
                <w:rFonts w:ascii="Times New Roman"/>
                <w:b w:val="false"/>
                <w:i w:val="false"/>
                <w:color w:val="000000"/>
                <w:sz w:val="20"/>
              </w:rPr>
              <w:t>
лелер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
</w:t>
            </w:r>
            <w:r>
              <w:br/>
            </w:r>
            <w:r>
              <w:rPr>
                <w:rFonts w:ascii="Times New Roman"/>
                <w:b w:val="false"/>
                <w:i w:val="false"/>
                <w:color w:val="000000"/>
                <w:sz w:val="20"/>
              </w:rPr>
              <w:t>
талық
</w:t>
            </w:r>
            <w:r>
              <w:br/>
            </w:r>
            <w:r>
              <w:rPr>
                <w:rFonts w:ascii="Times New Roman"/>
                <w:b w:val="false"/>
                <w:i w:val="false"/>
                <w:color w:val="000000"/>
                <w:sz w:val="20"/>
              </w:rPr>
              <w:t>
мәмі-лелер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Пайыз-
</w:t>
            </w:r>
            <w:r>
              <w:br/>
            </w:r>
            <w:r>
              <w:rPr>
                <w:rFonts w:ascii="Times New Roman"/>
                <w:b w:val="false"/>
                <w:i w:val="false"/>
                <w:color w:val="000000"/>
                <w:sz w:val="20"/>
              </w:rPr>
              <w:t>
дық мә-
</w:t>
            </w:r>
            <w:r>
              <w:br/>
            </w:r>
            <w:r>
              <w:rPr>
                <w:rFonts w:ascii="Times New Roman"/>
                <w:b w:val="false"/>
                <w:i w:val="false"/>
                <w:color w:val="000000"/>
                <w:sz w:val="20"/>
              </w:rPr>
              <w:t>
мілелер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емес
</w:t>
            </w:r>
            <w:r>
              <w:br/>
            </w: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дармен
</w:t>
            </w:r>
            <w:r>
              <w:br/>
            </w:r>
            <w:r>
              <w:rPr>
                <w:rFonts w:ascii="Times New Roman"/>
                <w:b w:val="false"/>
                <w:i w:val="false"/>
                <w:color w:val="000000"/>
                <w:sz w:val="20"/>
              </w:rPr>
              <w:t>
мәміле-
</w:t>
            </w:r>
            <w:r>
              <w:br/>
            </w:r>
            <w:r>
              <w:rPr>
                <w:rFonts w:ascii="Times New Roman"/>
                <w:b w:val="false"/>
                <w:i w:val="false"/>
                <w:color w:val="000000"/>
                <w:sz w:val="20"/>
              </w:rPr>
              <w:t>
лер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Қымбат
</w:t>
            </w:r>
            <w:r>
              <w:br/>
            </w:r>
            <w:r>
              <w:rPr>
                <w:rFonts w:ascii="Times New Roman"/>
                <w:b w:val="false"/>
                <w:i w:val="false"/>
                <w:color w:val="000000"/>
                <w:sz w:val="20"/>
              </w:rPr>
              <w:t>
метал-
</w:t>
            </w:r>
            <w:r>
              <w:br/>
            </w:r>
            <w:r>
              <w:rPr>
                <w:rFonts w:ascii="Times New Roman"/>
                <w:b w:val="false"/>
                <w:i w:val="false"/>
                <w:color w:val="000000"/>
                <w:sz w:val="20"/>
              </w:rPr>
              <w:t>
дармен
</w:t>
            </w:r>
            <w:r>
              <w:br/>
            </w:r>
            <w:r>
              <w:rPr>
                <w:rFonts w:ascii="Times New Roman"/>
                <w:b w:val="false"/>
                <w:i w:val="false"/>
                <w:color w:val="000000"/>
                <w:sz w:val="20"/>
              </w:rPr>
              <w:t>
жасал-
</w:t>
            </w:r>
            <w:r>
              <w:br/>
            </w:r>
            <w:r>
              <w:rPr>
                <w:rFonts w:ascii="Times New Roman"/>
                <w:b w:val="false"/>
                <w:i w:val="false"/>
                <w:color w:val="000000"/>
                <w:sz w:val="20"/>
              </w:rPr>
              <w:t>
ған
</w:t>
            </w:r>
            <w:r>
              <w:br/>
            </w:r>
            <w:r>
              <w:rPr>
                <w:rFonts w:ascii="Times New Roman"/>
                <w:b w:val="false"/>
                <w:i w:val="false"/>
                <w:color w:val="000000"/>
                <w:sz w:val="20"/>
              </w:rPr>
              <w:t>
мәміле-
</w:t>
            </w:r>
            <w:r>
              <w:br/>
            </w:r>
            <w:r>
              <w:rPr>
                <w:rFonts w:ascii="Times New Roman"/>
                <w:b w:val="false"/>
                <w:i w:val="false"/>
                <w:color w:val="000000"/>
                <w:sz w:val="20"/>
              </w:rPr>
              <w:t>
лер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мәмі-
</w:t>
            </w:r>
            <w:r>
              <w:br/>
            </w:r>
            <w:r>
              <w:rPr>
                <w:rFonts w:ascii="Times New Roman"/>
                <w:b w:val="false"/>
                <w:i w:val="false"/>
                <w:color w:val="000000"/>
                <w:sz w:val="20"/>
              </w:rPr>
              <w:t>
лелер
</w:t>
            </w:r>
          </w:p>
        </w:tc>
      </w:tr>
      <w:tr>
        <w:trPr>
          <w:trHeight w:val="240" w:hRule="atLeast"/>
        </w:trPr>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жылдан кем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615" w:hRule="atLeast"/>
        </w:trPr>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жылдан бастап
</w:t>
            </w:r>
            <w:r>
              <w:br/>
            </w:r>
            <w:r>
              <w:rPr>
                <w:rFonts w:ascii="Times New Roman"/>
                <w:b w:val="false"/>
                <w:i w:val="false"/>
                <w:color w:val="000000"/>
                <w:sz w:val="20"/>
              </w:rPr>
              <w:t>
5 жылға дейін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465" w:hRule="atLeast"/>
        </w:trPr>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жылдан артық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bl>
    <w:p>
      <w:pPr>
        <w:spacing w:after="0"/>
        <w:ind w:left="0"/>
        <w:jc w:val="both"/>
      </w:pPr>
      <w:r>
        <w:rPr>
          <w:rFonts w:ascii="Times New Roman"/>
          <w:b w:val="false"/>
          <w:i w:val="false"/>
          <w:color w:val="000000"/>
          <w:sz w:val="28"/>
        </w:rPr>
        <w:t>
      Кредиттік тәуекел есепті күннен бастап валюталау күніне дейін қалған мерзімге қатысты номиналды келісім-шарт құнын коэффициентке көбейту жолымен есептелінеді.
</w:t>
      </w:r>
      <w:r>
        <w:br/>
      </w:r>
      <w:r>
        <w:rPr>
          <w:rFonts w:ascii="Times New Roman"/>
          <w:b w:val="false"/>
          <w:i w:val="false"/>
          <w:color w:val="000000"/>
          <w:sz w:val="28"/>
        </w:rPr>
        <w:t>
      Осы кестеде келтірілген санаттың ешқайсысына да жатпайтын туынды қаржы құралдарымен операциялар "Басқа мәмілелер" санатында көрсетілген кредиттік тәуекелдің коэффициенттері бойынша саралануы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