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604" w14:textId="eac8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2007 жылғы 14 желтоқсандағы № 35 шешімі. Қостанай облысы Ұзынкөл ауданының Әділет басқармасында 2008 жылғы 15 қаңтарда № 9-19-64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p>
      <w:pPr>
        <w:spacing w:after="0"/>
        <w:ind w:left="0"/>
        <w:jc w:val="both"/>
      </w:pPr>
      <w:r>
        <w:rPr>
          <w:rFonts w:ascii="Times New Roman"/>
          <w:b w:val="false"/>
          <w:i w:val="false"/>
          <w:color w:val="000000"/>
          <w:sz w:val="28"/>
        </w:rPr>
        <w:t>      Қазақстан Республикасының Еңбек кодексінің 238-бабының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сондай-ақ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Ауылдық (селолық) жерде жұмыс істейтін әлеуметтік қамсыздандыру, білім беру, мәдениет саласының азаматтық қызметшілеріне, қалалық жағдайда қызметтің осы түрімен айналысатын азаматтық қызметшілердің жалақыларымен және ставкалармен салыстырғанда 2008 жылға арналған аудандық бюджет қаражаты есебінен жиырма бес процентке жоғары лауазымдық жалақылар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Үшінші</w:t>
      </w:r>
      <w:r>
        <w:br/>
      </w:r>
      <w:r>
        <w:rPr>
          <w:rFonts w:ascii="Times New Roman"/>
          <w:b w:val="false"/>
          <w:i w:val="false"/>
          <w:color w:val="000000"/>
          <w:sz w:val="28"/>
        </w:rPr>
        <w:t>
</w:t>
      </w:r>
      <w:r>
        <w:rPr>
          <w:rFonts w:ascii="Times New Roman"/>
          <w:b w:val="false"/>
          <w:i/>
          <w:color w:val="000000"/>
          <w:sz w:val="28"/>
        </w:rPr>
        <w:t>      сессияның төрайымы                         Р. Есенәлина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