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bb5e" w14:textId="b4ab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2006 жылғы 26 сәуірдегі N 313 "Қостанай облысында сыбайлас жемқорлыққа қарсы күрестің 2006 - 2010 жылдарға арналған өңірлік бағдарламасын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облыстық мәслихатының 2007 жылғы 12 шілдедегі N 459 шешімі. Қостанай облыстық әділет департаментінде 2007 жылғы 8 тамызда N 3576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 xml:space="preserve"> 6-бабына </w:t>
      </w:r>
      <w:r>
        <w:rPr>
          <w:rFonts w:ascii="Times New Roman"/>
          <w:b w:val="false"/>
          <w:i w:val="false"/>
          <w:color w:val="000000"/>
          <w:sz w:val="28"/>
        </w:rPr>
        <w:t>
 сәйкес Қостанай облыстық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Қостанай облыстық мәслихаттың 2006 жылғы 26 сәуіріндегі № 313 «Қостанай облысында сыбайлас жемқорлыққа қарсы кyрестің 2006 - 2010 жылдарға арналған өңірлік бағдарламасын бекіту туралы» шешіміне келесі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қосымшаға сәйкес Қостанай облысында сыбайлас жемқорлыққа қарсы күрестің 2006 - 2008 жылдарға арналған өңірлік бағдарламасын іске асыру жөніндегі іс-шаралар жоспарының (бұдан әрі - Жоспар) 2-бөлімі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Жоспардың 32-тармағы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ресми түрде алғашқы рет жарияланғаннан кейін он күнтізбелік күн мерзімі өткеннен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Кезекті, жиырмасыншы сессияның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Қостанай облыстық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w:t>
      </w:r>
      <w:r>
        <w:br/>
      </w:r>
      <w:r>
        <w:rPr>
          <w:rFonts w:ascii="Times New Roman"/>
          <w:b w:val="false"/>
          <w:i w:val="false"/>
          <w:color w:val="000000"/>
          <w:sz w:val="28"/>
        </w:rPr>
        <w:t>
2007 жылғы 12 шілдедегі 
</w:t>
      </w:r>
      <w:r>
        <w:br/>
      </w:r>
      <w:r>
        <w:rPr>
          <w:rFonts w:ascii="Times New Roman"/>
          <w:b w:val="false"/>
          <w:i w:val="false"/>
          <w:color w:val="000000"/>
          <w:sz w:val="28"/>
        </w:rPr>
        <w:t>
N 459 шешіміне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Қостанай облысында сыбайлас жемқорлыққа қарсы күрестің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2006 - 2008 жылдарға  Арналған өңірлік бағдарламасын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2362"/>
        <w:gridCol w:w="2268"/>
        <w:gridCol w:w="2796"/>
        <w:gridCol w:w="2499"/>
        <w:gridCol w:w="1705"/>
        <w:gridCol w:w="1288"/>
      </w:tblGrid>
      <w:tr>
        <w:trPr>
          <w:trHeight w:val="90" w:hRule="atLeast"/>
        </w:trPr>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
</w:t>
            </w:r>
          </w:p>
        </w:tc>
        <w:tc>
          <w:tcPr>
            <w:tcW w:w="2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w:t>
            </w:r>
            <w:r>
              <w:br/>
            </w:r>
            <w:r>
              <w:rPr>
                <w:rFonts w:ascii="Times New Roman"/>
                <w:b w:val="false"/>
                <w:i w:val="false"/>
                <w:color w:val="000000"/>
                <w:sz w:val="20"/>
              </w:rPr>
              <w:t>
нысаны
</w:t>
            </w:r>
          </w:p>
        </w:tc>
        <w:tc>
          <w:tcPr>
            <w:tcW w:w="2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w:t>
            </w:r>
            <w:r>
              <w:br/>
            </w:r>
            <w:r>
              <w:rPr>
                <w:rFonts w:ascii="Times New Roman"/>
                <w:b w:val="false"/>
                <w:i w:val="false"/>
                <w:color w:val="000000"/>
                <w:sz w:val="20"/>
              </w:rPr>
              <w:t>
жауаптылар
</w:t>
            </w:r>
          </w:p>
        </w:tc>
        <w:tc>
          <w:tcPr>
            <w:tcW w:w="2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w:t>
            </w:r>
            <w:r>
              <w:br/>
            </w:r>
            <w:r>
              <w:rPr>
                <w:rFonts w:ascii="Times New Roman"/>
                <w:b w:val="false"/>
                <w:i w:val="false"/>
                <w:color w:val="000000"/>
                <w:sz w:val="20"/>
              </w:rPr>
              <w:t>
мерзімі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r>
              <w:br/>
            </w:r>
            <w:r>
              <w:rPr>
                <w:rFonts w:ascii="Times New Roman"/>
                <w:b w:val="false"/>
                <w:i w:val="false"/>
                <w:color w:val="000000"/>
                <w:sz w:val="20"/>
              </w:rPr>
              <w:t>
ды шы-
</w:t>
            </w:r>
            <w:r>
              <w:br/>
            </w:r>
            <w:r>
              <w:rPr>
                <w:rFonts w:ascii="Times New Roman"/>
                <w:b w:val="false"/>
                <w:i w:val="false"/>
                <w:color w:val="000000"/>
                <w:sz w:val="20"/>
              </w:rPr>
              <w:t>
ғыстар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
</w:t>
            </w:r>
            <w:r>
              <w:br/>
            </w:r>
            <w:r>
              <w:rPr>
                <w:rFonts w:ascii="Times New Roman"/>
                <w:b w:val="false"/>
                <w:i w:val="false"/>
                <w:color w:val="000000"/>
                <w:sz w:val="20"/>
              </w:rPr>
              <w:t>
жы-
</w:t>
            </w:r>
            <w:r>
              <w:br/>
            </w:r>
            <w:r>
              <w:rPr>
                <w:rFonts w:ascii="Times New Roman"/>
                <w:b w:val="false"/>
                <w:i w:val="false"/>
                <w:color w:val="000000"/>
                <w:sz w:val="20"/>
              </w:rPr>
              <w:t>
лан-
</w:t>
            </w:r>
            <w:r>
              <w:br/>
            </w:r>
            <w:r>
              <w:rPr>
                <w:rFonts w:ascii="Times New Roman"/>
                <w:b w:val="false"/>
                <w:i w:val="false"/>
                <w:color w:val="000000"/>
                <w:sz w:val="20"/>
              </w:rPr>
              <w:t>
дыру
</w:t>
            </w:r>
            <w:r>
              <w:br/>
            </w:r>
            <w:r>
              <w:rPr>
                <w:rFonts w:ascii="Times New Roman"/>
                <w:b w:val="false"/>
                <w:i w:val="false"/>
                <w:color w:val="000000"/>
                <w:sz w:val="20"/>
              </w:rPr>
              <w:t>
көз-
</w:t>
            </w:r>
            <w:r>
              <w:br/>
            </w:r>
            <w:r>
              <w:rPr>
                <w:rFonts w:ascii="Times New Roman"/>
                <w:b w:val="false"/>
                <w:i w:val="false"/>
                <w:color w:val="000000"/>
                <w:sz w:val="20"/>
              </w:rPr>
              <w:t>
дері
</w:t>
            </w:r>
          </w:p>
        </w:tc>
      </w:tr>
      <w:tr>
        <w:trPr>
          <w:trHeight w:val="90" w:hRule="atLeast"/>
        </w:trPr>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Сыбайлас жемқорлықты төмендету жөнінде мемлекеттік шараларды жетілдіру
</w:t>
            </w:r>
            <w:r>
              <w:rPr>
                <w:rFonts w:ascii="Times New Roman"/>
                <w:b w:val="false"/>
                <w:i w:val="false"/>
                <w:color w:val="000000"/>
                <w:sz w:val="20"/>
              </w:rPr>
              <w:t>
</w:t>
            </w:r>
          </w:p>
        </w:tc>
      </w:tr>
      <w:tr>
        <w:trPr>
          <w:trHeight w:val="90" w:hRule="atLeast"/>
        </w:trPr>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2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2005-2007 жылдарға арналған тұрғын үй құрылысын дамыту мемлекеттік бағдарламасын іске асырудың заңдылығы мәселесі бойынша тексерулер жүргізу
</w:t>
            </w:r>
          </w:p>
        </w:tc>
        <w:tc>
          <w:tcPr>
            <w:tcW w:w="2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және қадағалау актілері
</w:t>
            </w:r>
          </w:p>
        </w:tc>
        <w:tc>
          <w:tcPr>
            <w:tcW w:w="2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бойынша Қазақстан Республикасы Ұлттық қауіпсіздік комитетінің департаменті"»(ММ) (келісім бойынша), "Қостанай облысы бойынша экономикалық қылмыс және сыбайлас жемқорлыққа қарсы күрес департаменті (қаржы полициясы)" ММ (келісім бойынша), "Қостанай облысының прокуратурасы" ММ (келісім бойынша)
</w:t>
            </w:r>
          </w:p>
        </w:tc>
        <w:tc>
          <w:tcPr>
            <w:tcW w:w="2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1 рет
</w:t>
            </w:r>
          </w:p>
        </w:tc>
        <w:tc>
          <w:tcPr>
            <w:tcW w:w="1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талап етпейді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