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1938" w14:textId="421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2007 жылғы 9 шілдедегі N 39/315 шешімі. Қарағанды облысы Жаңаарқа ауданы әділет басқармасында 2007 жылғы 27 шілдеде N 8-12-33 тіркелді. Күші жойылды - Қарағанды облысы Жаңаарқа аудандық мәслихатының 2016 жылғы 11 мамырдағы N 2/18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аудандық мәслихатының 11.05.2016 N 2/18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Жаңаарқа ауданы әкімдігінің жиналыстарды, митингілерді, шерулерді, пикеттер мен демонстрацияларды өткізу тәртібін қосымша реттеу ұсынысын қарастырып,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бейбіт жиналыстар, митингілер, шерулер, пикеттер және демонстрациялар ұйымдастырудың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азаматтардың құқықтары мен бостандықтарын, қоғамдық қауіпсіздікті, сондай-ақ көліктің, өзгеде инфрақұрылым объектілерінің қалыпты жұмыс істеуін, жасыл желектер мен шағын сәулет нысандарының сақталуын қамтамасыз ету мақсатында Жаңаарқа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әкімдігіне төмендегідей ұсыныс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тиісті мемлекеттік органдар тарапынан өтетін облыстық және жергілікті маңызы бар арнайы іс-шаралар төмендегі нысандар аумағында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сәйкес өткілсін.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қоғамдық–саяси сипаттағы мемлекеттік емес іс-шараларды аудандық қорғаныс бөлімінің ғимаратының алдындағы алаңда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орындалысына бақылау жасау аудандық Мәслихаттың халықты әлеуметтік қорғау және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Басқа алаңдар мен гүлдарлар, олардың сәулеттік және қызметтік пайдалануына сай ресми және мәдени-сауық шараларды өткізуге үшін деп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аудандық Әділет басқармасына тіркелгеннен және ақпарат көздеріне жариялағаннан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Жұмашев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шілде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Атасу кенті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Мәдени-сауық орталығы алдындағы алаң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Жастар орталығы алдындағы алаң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Тәуелсіздік даңғылы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Вокзал алдындағы алаң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Аудандық саябақ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"Мөлдір" мейрамханасы алдындағы алаң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Қызылжар кенті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Пошта бөлімшесі ғимаратының алаңы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3.Селолық округтер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Ақтасты селосының мектеп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Орынбай селосының мектеп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Бидайық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Айнабұлақ селосының ОДА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Қарағаш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Байдалы би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Ынтымақ селосының спорт кешенінің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Ералиев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Ақтау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Түгіскен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М. Жұмажанов селосының мектеп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Ақтүбек селосының клуб ғимараты алдындағы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