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217e" w14:textId="1162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N 66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30 сәуірдегі N 48 Қаулысы. Қазақстан Республикасының Әділет министрлігінде 2007 жылғы 5 маусымдағы Нормативтік құқықтық кесімдерді мемлекеттік тіркеудің тізіліміне N 4701 болып енгізілді.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қорының активтерін сыртқы басқарушыларды таңдаудың және мониторинг жүргізудің тиімділігін арттыру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N 66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4360 тіркелген)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 Ұлттық қорының активтерін сыртқы басқарушыларды таңдау ережесінде: </w:t>
      </w:r>
      <w:r>
        <w:br/>
      </w:r>
      <w:r>
        <w:rPr>
          <w:rFonts w:ascii="Times New Roman"/>
          <w:b w:val="false"/>
          <w:i w:val="false"/>
          <w:color w:val="000000"/>
          <w:sz w:val="28"/>
        </w:rPr>
        <w:t xml:space="preserve">
      1-қосымша мынадай мазмұндағы 19-тармақпен толықтырылсын: </w:t>
      </w:r>
      <w:r>
        <w:br/>
      </w:r>
      <w:r>
        <w:rPr>
          <w:rFonts w:ascii="Times New Roman"/>
          <w:b w:val="false"/>
          <w:i w:val="false"/>
          <w:color w:val="000000"/>
          <w:sz w:val="28"/>
        </w:rPr>
        <w:t xml:space="preserve">
      "19. Компанияның қаржы құралдарын сатып алу-сату операциялары бойынша комиссиялық шығыстарының мөлшері туралы есеп (Transaction Cost Analysis Report), ішкі бақылау жүйесі туралы есеп (FRAG 21 немесе осыған ұқсас есеп), компания туралы толық ақпараты бар есептілік нысаны (Form ADV немесе осыған ұқсас нысан).";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кестенің реттік нөмірі 4-жолы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893"/>
        <w:gridCol w:w="2653"/>
      </w:tblGrid>
      <w:tr>
        <w:trPr>
          <w:trHeight w:val="42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Кредиттік мәртебесі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 үшін </w:t>
            </w:r>
          </w:p>
        </w:tc>
      </w:tr>
      <w:tr>
        <w:trPr>
          <w:trHeight w:val="25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кредиттік рейтингі </w:t>
            </w:r>
            <w:r>
              <w:br/>
            </w:r>
            <w:r>
              <w:rPr>
                <w:rFonts w:ascii="Times New Roman"/>
                <w:b w:val="false"/>
                <w:i w:val="false"/>
                <w:color w:val="000000"/>
                <w:sz w:val="20"/>
              </w:rPr>
              <w:t xml:space="preserve">
(S&amp;P немесе Moody's)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5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кепілдігі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7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агенттердің іс-әрекеттеріне </w:t>
            </w:r>
            <w:r>
              <w:br/>
            </w:r>
            <w:r>
              <w:rPr>
                <w:rFonts w:ascii="Times New Roman"/>
                <w:b w:val="false"/>
                <w:i w:val="false"/>
                <w:color w:val="000000"/>
                <w:sz w:val="20"/>
              </w:rPr>
              <w:t xml:space="preserve">
кепілдік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3-қосымшаның 6-тармағы алынып тасталсын; </w:t>
      </w:r>
      <w:r>
        <w:br/>
      </w:r>
      <w:r>
        <w:rPr>
          <w:rFonts w:ascii="Times New Roman"/>
          <w:b w:val="false"/>
          <w:i w:val="false"/>
          <w:color w:val="000000"/>
          <w:sz w:val="28"/>
        </w:rPr>
        <w:t xml:space="preserve">
      4-қосымшада: </w:t>
      </w:r>
      <w:r>
        <w:br/>
      </w:r>
      <w:r>
        <w:rPr>
          <w:rFonts w:ascii="Times New Roman"/>
          <w:b w:val="false"/>
          <w:i w:val="false"/>
          <w:color w:val="000000"/>
          <w:sz w:val="28"/>
        </w:rPr>
        <w:t xml:space="preserve">
      он үшінші және он төртінші абзацтар алынып тасталсын; </w:t>
      </w:r>
      <w:r>
        <w:br/>
      </w:r>
      <w:r>
        <w:rPr>
          <w:rFonts w:ascii="Times New Roman"/>
          <w:b w:val="false"/>
          <w:i w:val="false"/>
          <w:color w:val="000000"/>
          <w:sz w:val="28"/>
        </w:rPr>
        <w:t xml:space="preserve">
      4-қосымша мынадай мазмұндағы абзацпен және кестемен толықтырылсын: </w:t>
      </w:r>
      <w:r>
        <w:br/>
      </w:r>
      <w:r>
        <w:rPr>
          <w:rFonts w:ascii="Times New Roman"/>
          <w:b w:val="false"/>
          <w:i w:val="false"/>
          <w:color w:val="000000"/>
          <w:sz w:val="28"/>
        </w:rPr>
        <w:t xml:space="preserve">
      "Осы Ереженің 3-қосымшасының 4 және 7-тармақтарында келтірілген баллдар жүйесіне сәйкес есептелген бағалар негізінде төменде келтіріліп отырған сыртқы басқарушылар рангілерінің кестесі жасалады: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73"/>
        <w:gridCol w:w="1573"/>
        <w:gridCol w:w="2153"/>
        <w:gridCol w:w="2173"/>
        <w:gridCol w:w="23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басқарушы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Мандат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кезеңдердегі орны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1-кезең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2-кезең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3-кезең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Монетарлық операциялар департаменті (Герасименко Ю.В.):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 Қазақстан Республикасының Қаржы министрлігіне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М.М.Сартбаевқа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