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f4d2" w14:textId="d6a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2005 жылғы 28 маусымдағы N 3-1-457қ "Астана қаласының мемлекеттік коммуналдық мүлкін мүліктік жалдауға (жалға) беру Қағидасын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7 желтоқсандағы N 16-1008қ Қаулысы. Астана қаласының Әділет департаментінде 2007 жылғы 16 қаңтарда нормативтік құқықтық кесімдерді Мемлекеттік тіркеудің тізіліміне N 453 болып енгізілді. Күші жойылды - Астана қаласы әкімдігінің 2014 жылғы 27 ақпандағы № 113-318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"Қазақстан Республикасы астанасының мәртебесi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"Республикалық мемлекеттік кәсіпорындардың шаруашылық жүргізуіндегі немесе жедел басқаруындағы мүлікті, оның ішінде жекешелендіруге жатпайтын мемлекеттік меншік объектілерін мүліктік жалдауға беру ережесін бекіту туралы" Қазақстан Республикасы Үкіметінің 2001 жылғы 7 наурыздағы N 336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коммуналдық меншігін басқару және иелік ету тиімділігін арттыру мақсатында Астана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2005 жылғы 28 маусымдағы N 3-1-457қ "Астана қаласының мемлекеттік коммуналдық мүлкін мүліктік жалдауға (жалға) беру қағидасын бекіту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2005 жылғы 1 тамызда N 404 болып тіркелген, 2005 жылғы 16 тамыздағы N 112 "Астана хабары", 2005 жылғы 11 тамыздағы N 122 "Вечерняя Астана" газеттерінде жарияланған)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3-тараудың 1-параграфының 3-тармағының екінші абзацында "мекемелерге" деген сөзден кейін ", акцияларының (үлестерінің) елу және одан астам пайызы немесе акцияларының бақылау пакеті мемлекетке тиесілі мемлекеттік кәсіпорындарға және заңды тұлғаларға;"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3-тараудың 1-параграфының 3-тармағы мынадай мазмұндағы абзацпен толықтырылсын "ауданы 100 шаршы метрге дейінгі орын-жайды бір жылға дейінгі мерзімге жалға беру.".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қаласының Қаржы департаменті" мемлекеттік мекемесі белгіленген тәртіпте енгізілген толықтырулардың тіркелуін және Астана қаласының мемлекеттік коммуналдық мүлкін мүліктік жалдауға (жалға) беру кезінде олардың сақталуын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Б.С. Смағұловқа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Мемлекеттік-құқықтық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бөлiмінің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Экономикалық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мониторинг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департаментi"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