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0b1b" w14:textId="bc00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17 маусымдағы N 135 Қаулысы. Қазақстан Республикасы Әділет министрлігінде 2006 жылғы 26 шілдеде тіркелді. Тіркеу N 4311.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42-бабының</w:t>
      </w:r>
      <w:r>
        <w:rPr>
          <w:rFonts w:ascii="Times New Roman"/>
          <w:b w:val="false"/>
          <w:i w:val="false"/>
          <w:color w:val="000000"/>
          <w:sz w:val="28"/>
        </w:rPr>
        <w:t xml:space="preserve"> 3-тармағына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Агенттік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3924 тіркелген), Агенттік Басқармасының 2005 жылғы 26 қарашадағы N 409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3989 тіркелген), 2006 жылғы 27 мамырдағы N 120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4249 тіркелген) енгізілген өзгерістермен және толықтырулармен бірге) мынадай өзгерістер енгізілсін: </w:t>
      </w:r>
    </w:p>
    <w:bookmarkEnd w:id="0"/>
    <w:bookmarkStart w:name="z7" w:id="1"/>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 үшін пруденциалдық нормативтер есеп айырысуларының нормативтік мәні мен әдістемесі туралы нұсқаулықта: </w:t>
      </w:r>
      <w:r>
        <w:br/>
      </w:r>
      <w:r>
        <w:rPr>
          <w:rFonts w:ascii="Times New Roman"/>
          <w:b w:val="false"/>
          <w:i w:val="false"/>
          <w:color w:val="000000"/>
          <w:sz w:val="28"/>
        </w:rPr>
        <w:t>
</w:t>
      </w:r>
      <w:r>
        <w:rPr>
          <w:rFonts w:ascii="Times New Roman"/>
          <w:b w:val="false"/>
          <w:i w:val="false"/>
          <w:color w:val="000000"/>
          <w:sz w:val="28"/>
        </w:rPr>
        <w:t xml:space="preserve">
      46, 49, 51, 55-тармақтар алып тасталсын.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және оның қолданысы 2006 жылғы 1 шілдеден бастап туындаған қатынастарға таратылады. </w:t>
      </w:r>
    </w:p>
    <w:bookmarkEnd w:id="2"/>
    <w:bookmarkStart w:name="z4" w:id="3"/>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екінші деңгейдегі банктерге және "Қазақстан қаржыгерлерінің қауымдастығы" заңды тұлғалар бірлестігіне жіберсін. </w:t>
      </w:r>
    </w:p>
    <w:bookmarkEnd w:id="3"/>
    <w:bookmarkStart w:name="z5" w:id="4"/>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