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af87" w14:textId="aa1a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N 330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2006 жылғы 27 мамырдағы N 119 қаулысы. Қазақстан Республикасының Әділет министрлігінде 2006 жылғы 20 маусымда тіркелді. Тіркеу N 4258.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 1-тармағының 6) тармақшасына сәйкес зейнетақы активтерін инвестициялық басқаруды жүзеге асыратын заңды тұлғалардың қызмет етуінің айқындылық пен тиімділік дәрежесін арттыру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Агенттік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N 330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3329 тіркелген, Қазақстан Республикасының нормативтік құқықтық актілерінің бюллетенінде жарияланған, 2005 жылғы қараша, N 20, 186-құжат), Агенттік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3868 тіркелген) енгізілген өзгерістер мен толықтырулармен бірге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Зейнетақы активтерін инвестициялық басқару жөніндегі қызметті жүзеге асыратын заңды тұлғалардың есеп беру ережесінде: </w:t>
      </w:r>
      <w:r>
        <w:br/>
      </w:r>
      <w:r>
        <w:rPr>
          <w:rFonts w:ascii="Times New Roman"/>
          <w:b w:val="false"/>
          <w:i w:val="false"/>
          <w:color w:val="000000"/>
          <w:sz w:val="28"/>
        </w:rPr>
        <w:t xml:space="preserve">
      1-қосымшада 11.2-жолдан кейін мынадай мазмұндағы 11.2-1, 11.2-2-жолдармен толықтырылсын: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6373"/>
        <w:gridCol w:w="1653"/>
        <w:gridCol w:w="853"/>
        <w:gridCol w:w="813"/>
        <w:gridCol w:w="1333"/>
      </w:tblGrid>
      <w:tr>
        <w:trPr>
          <w:trHeight w:val="9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құнының өзгеруінен кірістер (шығындар)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өзгеруінен кірістер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xml:space="preserve">
         2-қосымшада "3. Қазақстан Республикасының Ұлттық Банкіндегі және екінші деңгейдегі банктердегі салымдар" деген кестеден кейін мынадай мазмұндағы кестемен толықтырылсын: </w:t>
      </w:r>
    </w:p>
    <w:bookmarkEnd w:id="3"/>
    <w:p>
      <w:pPr>
        <w:spacing w:after="0"/>
        <w:ind w:left="0"/>
        <w:jc w:val="both"/>
      </w:pPr>
      <w:r>
        <w:rPr>
          <w:rFonts w:ascii="Times New Roman"/>
          <w:b w:val="false"/>
          <w:i w:val="false"/>
          <w:color w:val="000000"/>
          <w:sz w:val="28"/>
        </w:rPr>
        <w:t xml:space="preserve">                 "4. Шартты талаптар/міндеттемелер"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73"/>
        <w:gridCol w:w="1733"/>
        <w:gridCol w:w="2113"/>
        <w:gridCol w:w="2433"/>
        <w:gridCol w:w="21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номері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 жасау күніне ағымдағы құны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ағымдағы құны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келісім-шарттар - "колл"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келісім-шарттар - "пут"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проценттік своп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проценттік своп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келісім-шарттар - "пут" - қарсышот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келісім-шарттар - "колл" - қарсышот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шартты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келісім-шарттар - "колл" - қарсышот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келісім-шарттар - "пут" - қарсышот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проценттік своп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проценттік своп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келісім-шарттар - "пут"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келісім-шарттар - "колл"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шартты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4"/>
    <w:bookmarkStart w:name="z6" w:id="5"/>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Агенттіктің мүдделі бөлімшелеріне, "Қазақстан қаржыгерлерінің қауымдастығы" заңды тұлғалар бірлестігіне, зейнетақы активтерін инвестициялық басқаруды жүзеге асыратын заңды тұлғаларға, жинақтаушы зейнетақы қорларына, "Активтерді басқарушылар қауымдастығы" қауымдастық нысанындағы заңды тұлғаларға бірлестігіне жіберсін. </w:t>
      </w:r>
    </w:p>
    <w:bookmarkEnd w:id="5"/>
    <w:bookmarkStart w:name="z7" w:id="6"/>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