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0c4c" w14:textId="93d0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мазмұндағы метериалдар жариялайтын мерзімді басылымдардың сатылуы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2005 жылғы 28 сәуірдегі № 111 қаулысы. Мерке аудандық Әділет басқармасында 2005 жылғы 13 мамырда № 4 болып тіркелді. Күші жойылды - Жамбыл облысы Меркі аудандық әкімдігінің 2016 жылғы 30 мамырда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Меркі аудандық әкімдігінің 30.05.2016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Орыс тілінде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Республикасының" "Бұқаралық ақпарат құралдары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талаптарын орындауды қамтамасыз ету мақсатында және Қазақстан Республикасының "Қазақстан Республикасындағы жергілікті мемлекеттік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эротикалық мазмұндағы материалдар жариялайтын мерзімді амалдарды бөлшек саудада сатуды реттеу үшін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Эротикалық мазмұндағы материал жариялайтын мерзімді басылымдарды бөлшек саудада сатудың ережесі (қосымшаға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Эротикалық мазмұндағы материал жариялайтын мерзімді басылымдар "Таза су" мемлекеттік коммуналдық кәсіпорнының ғимаратының мекемесі келісім-шарт бойынша сатылу орны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Үжірекбаевқа жуктелсін.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