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63da" w14:textId="d8e6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14 наурыздағы N 85-НҚ Бұйрығы. Қазақстан Республикасының Әділет министрлігінде 2005 жылғы 31 наурызда тіркелді. Тіркеу N 3531. Күші жойылды - Қазақстан Республикасы Ұлттық экономика министрінің 2018 жылғы 22 қаңтардағы № 22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22.01.2018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18) тармақшасына,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заңнамада белгіленген тәртіппен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өзім бақылаймын.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r>
              <w:br/>
            </w:r>
            <w:r>
              <w:rPr>
                <w:rFonts w:ascii="Times New Roman"/>
                <w:b w:val="false"/>
                <w:i w:val="false"/>
                <w:color w:val="000000"/>
                <w:sz w:val="20"/>
              </w:rPr>
              <w:t>міндетін атқарушы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2005 жылғы 14 наурыздағы</w:t>
            </w:r>
            <w:r>
              <w:br/>
            </w:r>
            <w:r>
              <w:rPr>
                <w:rFonts w:ascii="Times New Roman"/>
                <w:b w:val="false"/>
                <w:i w:val="false"/>
                <w:color w:val="000000"/>
                <w:sz w:val="20"/>
              </w:rPr>
              <w:t>N 85 НҚ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келісудің осы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уәкілетті органмен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(бұдан әрі - Әдістеме) келісу тәртібін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Ережені әзірлеудің негізгі мақсаты табиғи монополиялар субъектілерінің реттеліп көрсетілетін қызметтердің түрлері бойынша және уәкілетті орган бекітетін экономикалық негізделген тарифтерді белгілеу үшін тұтастай реттеліп көрсетілмейтін қызметтер бойынша табыстарды, шығындар мен қолданысқа енгізілген активтерді бөлектеп есепке алуды жүргізу қағидаттарын, ұйымдастыру мен жүзеге асыру тәртібін айқындау болып табылады. </w:t>
      </w:r>
    </w:p>
    <w:bookmarkEnd w:id="2"/>
    <w:bookmarkStart w:name="z4" w:id="3"/>
    <w:p>
      <w:pPr>
        <w:spacing w:after="0"/>
        <w:ind w:left="0"/>
        <w:jc w:val="both"/>
      </w:pPr>
      <w:r>
        <w:rPr>
          <w:rFonts w:ascii="Times New Roman"/>
          <w:b w:val="false"/>
          <w:i w:val="false"/>
          <w:color w:val="000000"/>
          <w:sz w:val="28"/>
        </w:rPr>
        <w:t>
      3. Осы Ережеде мынадай ұғымдар пайдаланылады:</w:t>
      </w:r>
    </w:p>
    <w:bookmarkEnd w:id="3"/>
    <w:p>
      <w:pPr>
        <w:spacing w:after="0"/>
        <w:ind w:left="0"/>
        <w:jc w:val="both"/>
      </w:pPr>
      <w:r>
        <w:rPr>
          <w:rFonts w:ascii="Times New Roman"/>
          <w:b w:val="false"/>
          <w:i w:val="false"/>
          <w:color w:val="000000"/>
          <w:sz w:val="28"/>
        </w:rPr>
        <w:t>
      1) өтініш беруші - әдістемені уәкілетті органға келісуге жолдайтын табиғи монополия субъектісі;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 басшылықты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Осы Ереже барлық табиғи монополиялар субъектілеріне қолданылады. </w:t>
      </w:r>
    </w:p>
    <w:bookmarkEnd w:id="4"/>
    <w:bookmarkStart w:name="z6" w:id="5"/>
    <w:p>
      <w:pPr>
        <w:spacing w:after="0"/>
        <w:ind w:left="0"/>
        <w:jc w:val="left"/>
      </w:pPr>
      <w:r>
        <w:rPr>
          <w:rFonts w:ascii="Times New Roman"/>
          <w:b/>
          <w:i w:val="false"/>
          <w:color w:val="000000"/>
        </w:rPr>
        <w:t xml:space="preserve"> 2. Әдістемені ұсыну мен келісу тәртібі</w:t>
      </w:r>
    </w:p>
    <w:bookmarkEnd w:id="5"/>
    <w:p>
      <w:pPr>
        <w:spacing w:after="0"/>
        <w:ind w:left="0"/>
        <w:jc w:val="both"/>
      </w:pPr>
      <w:r>
        <w:rPr>
          <w:rFonts w:ascii="Times New Roman"/>
          <w:b w:val="false"/>
          <w:i w:val="false"/>
          <w:color w:val="000000"/>
          <w:sz w:val="28"/>
        </w:rPr>
        <w:t>
      5. Өтініш беруші табиғи монополиялар субъектілерінің Мемлекеттік тізіліміне енгізілген сәттен бастап күнтізбелік алпыс күннен кешіктірмей осы Ережеге 1-қосымшаға сәйкес әзірленген әдістемені уәкілетті органға келісуге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Егер Әдістеме есептік саясаттың бөлігі түрінде орындалған жағдайда, өтініш беруші Ереженің 5-тармағында көрсетілген мерзімдерде уәкілетті органның келісуіне есептік саясатты ұсынады. </w:t>
      </w:r>
    </w:p>
    <w:bookmarkEnd w:id="6"/>
    <w:bookmarkStart w:name="z8" w:id="7"/>
    <w:p>
      <w:pPr>
        <w:spacing w:after="0"/>
        <w:ind w:left="0"/>
        <w:jc w:val="both"/>
      </w:pPr>
      <w:r>
        <w:rPr>
          <w:rFonts w:ascii="Times New Roman"/>
          <w:b w:val="false"/>
          <w:i w:val="false"/>
          <w:color w:val="000000"/>
          <w:sz w:val="28"/>
        </w:rPr>
        <w:t xml:space="preserve">
      7. Келісуге арналған әдістеме немесе есептік саясат: </w:t>
      </w:r>
    </w:p>
    <w:bookmarkEnd w:id="7"/>
    <w:p>
      <w:pPr>
        <w:spacing w:after="0"/>
        <w:ind w:left="0"/>
        <w:jc w:val="both"/>
      </w:pPr>
      <w:r>
        <w:rPr>
          <w:rFonts w:ascii="Times New Roman"/>
          <w:b w:val="false"/>
          <w:i w:val="false"/>
          <w:color w:val="000000"/>
          <w:sz w:val="28"/>
        </w:rPr>
        <w:t xml:space="preserve">
      1) уәкілетті органға, екі және одан көп облыстардағы (республикалық маңызы бар қала, астана) аумағында қызметті жүзеге асыратын өтініш берушілерге, сондай-ақ табысы жылына үш жүз елу мың айлық есептік көрсеткіштерден асатын не егер реттеліп көрсетілетін қызметтерді (тауарларды, жұмыстарды) түпкілікті тұтынушыларының кем дегенде жиырма бес пайыздан асатынының орналасқан жері (тұратын орны) өтініш беруші тұратын облыстан тыс (республикалық маңызы бар қала, астана) жерлерде орналасса, өтініш берушілерге; </w:t>
      </w:r>
    </w:p>
    <w:p>
      <w:pPr>
        <w:spacing w:after="0"/>
        <w:ind w:left="0"/>
        <w:jc w:val="both"/>
      </w:pPr>
      <w:r>
        <w:rPr>
          <w:rFonts w:ascii="Times New Roman"/>
          <w:b w:val="false"/>
          <w:i w:val="false"/>
          <w:color w:val="000000"/>
          <w:sz w:val="28"/>
        </w:rPr>
        <w:t xml:space="preserve">
      2) егер уәкілетті орган өтініш берушінің қызметін реттеу бойынша функцияларын аумақтық органдарға табыстаған жағдайда, өтініш берушінің орналасқан жері бойынша уәкілетті органның тиісті аумақтық органына;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Табиғи монополияларды реттеу агенттігі төрағасының 19.07.2006 </w:t>
      </w:r>
      <w:r>
        <w:rPr>
          <w:rFonts w:ascii="Times New Roman"/>
          <w:b w:val="false"/>
          <w:i w:val="false"/>
          <w:color w:val="000000"/>
          <w:sz w:val="28"/>
        </w:rPr>
        <w:t xml:space="preserve">N 177-НҚ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 төрағасының 19.07.2006 </w:t>
      </w:r>
      <w:r>
        <w:rPr>
          <w:rFonts w:ascii="Times New Roman"/>
          <w:b w:val="false"/>
          <w:i w:val="false"/>
          <w:color w:val="000000"/>
          <w:sz w:val="28"/>
        </w:rPr>
        <w:t xml:space="preserve">N 177-НҚ </w:t>
      </w:r>
      <w:r>
        <w:rPr>
          <w:rFonts w:ascii="Times New Roman"/>
          <w:b w:val="false"/>
          <w:i w:val="false"/>
          <w:color w:val="ff0000"/>
          <w:sz w:val="28"/>
        </w:rPr>
        <w:t xml:space="preserve">бұйрығымен .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Уәкілетті орган әдістемені алған күнінен бастап күнтізбелік отыз күн ішінде оны қарайды және өтініш берушіні қабылданған шешім туралы жазбаша нысанда хабардар 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Алып тасталды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xml:space="preserve">
      10. Әдістемені (есептік саясатты) келісуден бас тартқаны туралы шешім қабылданған жағдайда, уәкілетті орган қабылданған шешім туралы хабарламасында бас тартудың себептерін көрсетеді. </w:t>
      </w:r>
    </w:p>
    <w:bookmarkEnd w:id="10"/>
    <w:p>
      <w:pPr>
        <w:spacing w:after="0"/>
        <w:ind w:left="0"/>
        <w:jc w:val="both"/>
      </w:pPr>
      <w:r>
        <w:rPr>
          <w:rFonts w:ascii="Times New Roman"/>
          <w:b w:val="false"/>
          <w:i w:val="false"/>
          <w:color w:val="000000"/>
          <w:sz w:val="28"/>
        </w:rPr>
        <w:t xml:space="preserve">
      Өтініш беруші уәкілетті орган әдістемені келісуден бас тартқаны туралы шешім қабылдаған күннен бастап жиырма күнтізбелік күннен аспайтын мерзімде келісуден бас тартқаны туралы хабарламада көрсетілген жөнсіздіктерді жояды және Әдістемені уәкілетті органның келісуіне қайтадан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қызметтерінің</w:t>
            </w:r>
            <w:r>
              <w:br/>
            </w:r>
            <w:r>
              <w:rPr>
                <w:rFonts w:ascii="Times New Roman"/>
                <w:b w:val="false"/>
                <w:i w:val="false"/>
                <w:color w:val="000000"/>
                <w:sz w:val="20"/>
              </w:rPr>
              <w:t>реттеліп көрсетілетін түрлері</w:t>
            </w:r>
            <w:r>
              <w:br/>
            </w:r>
            <w:r>
              <w:rPr>
                <w:rFonts w:ascii="Times New Roman"/>
                <w:b w:val="false"/>
                <w:i w:val="false"/>
                <w:color w:val="000000"/>
                <w:sz w:val="20"/>
              </w:rPr>
              <w:t>бойынша табыстарды, шығындар</w:t>
            </w:r>
            <w:r>
              <w:br/>
            </w:r>
            <w:r>
              <w:rPr>
                <w:rFonts w:ascii="Times New Roman"/>
                <w:b w:val="false"/>
                <w:i w:val="false"/>
                <w:color w:val="000000"/>
                <w:sz w:val="20"/>
              </w:rPr>
              <w:t>мен 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әдістемесін</w:t>
            </w:r>
            <w:r>
              <w:br/>
            </w:r>
            <w:r>
              <w:rPr>
                <w:rFonts w:ascii="Times New Roman"/>
                <w:b w:val="false"/>
                <w:i w:val="false"/>
                <w:color w:val="000000"/>
                <w:sz w:val="20"/>
              </w:rPr>
              <w:t>келісу ережесіне қосымша</w:t>
            </w:r>
          </w:p>
        </w:tc>
      </w:tr>
    </w:tbl>
    <w:bookmarkStart w:name="z12" w:id="11"/>
    <w:p>
      <w:pPr>
        <w:spacing w:after="0"/>
        <w:ind w:left="0"/>
        <w:jc w:val="left"/>
      </w:pPr>
      <w:r>
        <w:rPr>
          <w:rFonts w:ascii="Times New Roman"/>
          <w:b/>
          <w:i w:val="false"/>
          <w:color w:val="000000"/>
        </w:rPr>
        <w:t xml:space="preserve"> Бөлектеп есепке алуды жүргізу әдістемесінің үлгі құрылымы мынадай бөлімдерден тұрады  1. Жалпы ережелер </w:t>
      </w:r>
    </w:p>
    <w:bookmarkEnd w:id="11"/>
    <w:p>
      <w:pPr>
        <w:spacing w:after="0"/>
        <w:ind w:left="0"/>
        <w:jc w:val="both"/>
      </w:pPr>
      <w:r>
        <w:rPr>
          <w:rFonts w:ascii="Times New Roman"/>
          <w:b w:val="false"/>
          <w:i w:val="false"/>
          <w:color w:val="000000"/>
          <w:sz w:val="28"/>
        </w:rPr>
        <w:t xml:space="preserve">
      Оларға сәйкес әдістеме әзірленген негізгі нормативтік құқықтық актілер көрсетіледі. Негізгі пайдаланылған терминдер мен ұғымдар, бөлектеп есеп бойынша сөздіктер келтіріледі. Өтініш берушінің (филиалдар, бірлестіктер, дирекция, орталықтар) ұйымдастырушылық және иерархиялық құрылымы бейнеленеді. </w:t>
      </w:r>
    </w:p>
    <w:bookmarkStart w:name="z13" w:id="12"/>
    <w:p>
      <w:pPr>
        <w:spacing w:after="0"/>
        <w:ind w:left="0"/>
        <w:jc w:val="left"/>
      </w:pPr>
      <w:r>
        <w:rPr>
          <w:rFonts w:ascii="Times New Roman"/>
          <w:b/>
          <w:i w:val="false"/>
          <w:color w:val="000000"/>
        </w:rPr>
        <w:t xml:space="preserve"> 2. Қызметтердің Жіктегішіне сәйкес өтініш берушінің қызметіне бөлектеп есеп жүргізілетін қызметтердің түрлері (қызмет бағыттары) </w:t>
      </w:r>
    </w:p>
    <w:bookmarkEnd w:id="12"/>
    <w:p>
      <w:pPr>
        <w:spacing w:after="0"/>
        <w:ind w:left="0"/>
        <w:jc w:val="both"/>
      </w:pPr>
      <w:r>
        <w:rPr>
          <w:rFonts w:ascii="Times New Roman"/>
          <w:b w:val="false"/>
          <w:i w:val="false"/>
          <w:color w:val="000000"/>
          <w:sz w:val="28"/>
        </w:rPr>
        <w:t xml:space="preserve">
      Өтініш беруші көрсететін (реттеліп көрсетілетін және өзге) қызметтердің толық тізбесі келтіріледі. Егер бөлектеп есепке алуды жүргізу мақсаттары үшін қызметтер қызметтің түрлері бойынша топтастырылады, осы бөлімде қызметтің жүзеге асырылатын түрлерінің тізбесі көрсетіледі. Егер бөлектеп есепке алуды жүргізу кезінде өтініш берушінің табыстары, шығындары мен қолданысқа енгізілген активтері бизнес-процестерге бөлінеді, бизнес-процестердің тізбесін келтірген жөн. </w:t>
      </w:r>
    </w:p>
    <w:bookmarkStart w:name="z14" w:id="13"/>
    <w:p>
      <w:pPr>
        <w:spacing w:after="0"/>
        <w:ind w:left="0"/>
        <w:jc w:val="left"/>
      </w:pPr>
      <w:r>
        <w:rPr>
          <w:rFonts w:ascii="Times New Roman"/>
          <w:b/>
          <w:i w:val="false"/>
          <w:color w:val="000000"/>
        </w:rPr>
        <w:t xml:space="preserve"> 3. Табыстар, шығындар мен қолданысқа енгізілген активтер </w:t>
      </w:r>
    </w:p>
    <w:bookmarkEnd w:id="13"/>
    <w:p>
      <w:pPr>
        <w:spacing w:after="0"/>
        <w:ind w:left="0"/>
        <w:jc w:val="both"/>
      </w:pPr>
      <w:r>
        <w:rPr>
          <w:rFonts w:ascii="Times New Roman"/>
          <w:b w:val="false"/>
          <w:i w:val="false"/>
          <w:color w:val="000000"/>
          <w:sz w:val="28"/>
        </w:rPr>
        <w:t xml:space="preserve">
      Өтініш берушінің қызметтердің түрлері бойынша табыстарын айқындау тәртібі көрсетіледі. </w:t>
      </w:r>
    </w:p>
    <w:p>
      <w:pPr>
        <w:spacing w:after="0"/>
        <w:ind w:left="0"/>
        <w:jc w:val="both"/>
      </w:pPr>
      <w:r>
        <w:rPr>
          <w:rFonts w:ascii="Times New Roman"/>
          <w:b w:val="false"/>
          <w:i w:val="false"/>
          <w:color w:val="000000"/>
          <w:sz w:val="28"/>
        </w:rPr>
        <w:t xml:space="preserve">
      Қызметтің тиісті бағыттарына және реттеліп көрсетілетін қызметтердің түрлеріне арналған табыстардың, шығындар мен қолданысқа енгізілген активтерінің себеп-салдарлық байланысы көрсетіледі. Кестелі схемаларды пайдалануға жол беріледі. </w:t>
      </w:r>
    </w:p>
    <w:p>
      <w:pPr>
        <w:spacing w:after="0"/>
        <w:ind w:left="0"/>
        <w:jc w:val="both"/>
      </w:pPr>
      <w:r>
        <w:rPr>
          <w:rFonts w:ascii="Times New Roman"/>
          <w:b w:val="false"/>
          <w:i w:val="false"/>
          <w:color w:val="000000"/>
          <w:sz w:val="28"/>
        </w:rPr>
        <w:t xml:space="preserve">
      Көрсетілетін қызметтердің түрлері бойынша қолданысқа енгізілген активтерді бөлу қағидаттары келтіріледі. </w:t>
      </w:r>
    </w:p>
    <w:bookmarkStart w:name="z15" w:id="14"/>
    <w:p>
      <w:pPr>
        <w:spacing w:after="0"/>
        <w:ind w:left="0"/>
        <w:jc w:val="left"/>
      </w:pPr>
      <w:r>
        <w:rPr>
          <w:rFonts w:ascii="Times New Roman"/>
          <w:b/>
          <w:i w:val="false"/>
          <w:color w:val="000000"/>
        </w:rPr>
        <w:t xml:space="preserve"> 4. Шығындар мен қолданысқа енгізілген активтерді бөлу </w:t>
      </w:r>
    </w:p>
    <w:bookmarkEnd w:id="14"/>
    <w:p>
      <w:pPr>
        <w:spacing w:after="0"/>
        <w:ind w:left="0"/>
        <w:jc w:val="both"/>
      </w:pPr>
      <w:r>
        <w:rPr>
          <w:rFonts w:ascii="Times New Roman"/>
          <w:b w:val="false"/>
          <w:i w:val="false"/>
          <w:color w:val="000000"/>
          <w:sz w:val="28"/>
        </w:rPr>
        <w:t xml:space="preserve">
      Барлық кезеңдердің сипаттарын келтіре отырып, шығындарды бөлу кезеңдері бойынша табиғи монополия өтініш берушісінің шығындарын бөлу тәртібі көрсетіледі. Кестелі схемаларды пайдалануға жол беріледі. </w:t>
      </w:r>
    </w:p>
    <w:bookmarkStart w:name="z16" w:id="15"/>
    <w:p>
      <w:pPr>
        <w:spacing w:after="0"/>
        <w:ind w:left="0"/>
        <w:jc w:val="left"/>
      </w:pPr>
      <w:r>
        <w:rPr>
          <w:rFonts w:ascii="Times New Roman"/>
          <w:b/>
          <w:i w:val="false"/>
          <w:color w:val="000000"/>
        </w:rPr>
        <w:t xml:space="preserve"> 5. Қорытынды ережелер </w:t>
      </w:r>
    </w:p>
    <w:bookmarkEnd w:id="15"/>
    <w:p>
      <w:pPr>
        <w:spacing w:after="0"/>
        <w:ind w:left="0"/>
        <w:jc w:val="both"/>
      </w:pPr>
      <w:r>
        <w:rPr>
          <w:rFonts w:ascii="Times New Roman"/>
          <w:b w:val="false"/>
          <w:i w:val="false"/>
          <w:color w:val="000000"/>
          <w:sz w:val="28"/>
        </w:rPr>
        <w:t xml:space="preserve">
      Әдістемені Қазақстан Республикасының заңнамасына қайшы келмейтін өзге ережелермен толықтыруға жол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