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cd2c" w14:textId="699c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Орманды пайдалануға арналған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облыстық мәслихатының IX сессиясының 2004 жылғы 22 желтоқсандағы N 9/118-III шешімі. Шығыс Қазақстан облысының Әділет департаментінде 2004 жылғы 28 желтоқсанда N 2095 тіркелді. Күші жойылды - ШҚО мәслихатының 2009 жылғы 21 желтоқсандағы № 17/226-IV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ШҚО мәслихатының 2009.12.21 </w:t>
      </w:r>
      <w:r>
        <w:rPr>
          <w:rFonts w:ascii="Times New Roman"/>
          <w:b w:val="false"/>
          <w:i w:val="false"/>
          <w:color w:val="000000"/>
          <w:sz w:val="28"/>
        </w:rPr>
        <w:t>№ 17/226-IV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2003 жылғы 8-шілдедегі N 477-ІІ Орман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88 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"Салық және бюджетке төленетін басқа да міндетті төлемдер туралы" Қазақстан Республикасының 2001 жылғы 12-маусымдағы N 209-ІІ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 </w:t>
      </w:r>
      <w:r>
        <w:rPr>
          <w:rFonts w:ascii="Times New Roman"/>
          <w:b w:val="false"/>
          <w:i w:val="false"/>
          <w:color w:val="000000"/>
          <w:sz w:val="28"/>
        </w:rPr>
        <w:t xml:space="preserve">473 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"Қазақстан Республикасындағы жергілікті мемлекеттік басқару туралы" Қазақстан Республикасының 2001 жылғы 23-қаңтардағы N 148-ІІ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Шығыс Қазақстан облыстық мәслихаты 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 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екінші дәрежелі ағаш ресурстарын дайындағаны үшін төлемақы ставкалары (1 қосымша);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орманды жанама пайдаланғаны үшін төлемақы ставкалары (2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орман қорының учаскелерін мәдени-сауықтыру, рекреациялық, туристік және спорттық мақсаттар үшін пайдалануға арналған төлемақы ставкалары (3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орман қорының учаскелерін аңшылық шаруашылығының қажеттері үшін пайдалануға арналған төлемақы ставкалары (4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орман қорының учаскелерін ғылыми-зерттеу мақсаттары үшін пайдалануға арналған төлемақы ставкалары (5 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Шығыс Қазақстан облысының әділет департаментінде мемлекеттік тіркеуден өткен күннен бастап күшіне енеді және 2005 жылғы 1-қаңтардан бастап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Сессияның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 </w:t>
      </w:r>
      <w:r>
        <w:rPr>
          <w:rFonts w:ascii="Times New Roman"/>
          <w:b/>
          <w:i/>
          <w:color w:val="000000"/>
          <w:sz w:val="28"/>
        </w:rPr>
        <w:t xml:space="preserve">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 </w:t>
      </w:r>
      <w:r>
        <w:rPr>
          <w:rFonts w:ascii="Times New Roman"/>
          <w:b/>
          <w:i/>
          <w:color w:val="000000"/>
          <w:sz w:val="28"/>
        </w:rPr>
        <w:t xml:space="preserve">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22»желтоқсандағы N 9/118-III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Екінші дәрежелі ағаш ресурстарын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353"/>
        <w:gridCol w:w="1853"/>
        <w:gridCol w:w="1613"/>
        <w:gridCol w:w="31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түрі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Бірлігі үшін теңгедей ақы ставкасы 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Шегіршін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Майқарағай бұтағы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Себеттік тал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 сабағы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Өрілетін тал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 (бұта)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Қайың бұтағы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бұтағы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Шегіршіннің, майқарағайдың және қайыңның бұтақтары арнайы белгіленген  кеспеағаш аймақтарындағы кесілген ағаштардан әзірленеді.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 N 9/118-III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Орманды жанама пайдалану 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373"/>
        <w:gridCol w:w="1833"/>
        <w:gridCol w:w="2673"/>
        <w:gridCol w:w="1"/>
        <w:gridCol w:w="2013"/>
        <w:gridCol w:w="2613"/>
      </w:tblGrid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р/с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Атаулары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Өлшем бірлігі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тұлғалармен тегін жинау мен дайындауға арналған нормалар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түрі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Нормадан жоғарғы бірлік үшін ақы ставкасы, теңгемен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Емдік өсімдіктер мен техникалық шикізаттарды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дайындау және жинау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Мумие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оргқалдық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Шырша шайыры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Батпақ иірі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салаубасы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маралоты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Самалдық бұрыш (субұрыш)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Самалдық айланшөп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самалдық (таспа жоңышқа)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 андыз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Аюбалдырған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киікоты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Шілтері жапырақты шайқурай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Күреңоты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 үйлі қалақай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Сиырсілекей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Тиынтақ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Сарымсақтың барлық түрі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жасыл сабағы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Софлор тұқымдас левзей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Шегіршін жапырақты тобылғы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күлтелі тобылғы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Қазтабан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балшытыр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Таушымылдық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тамыры, 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шешек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жолжелкен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 ермен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Жұмыршақ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рауағаш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Қызғылт радиола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Көкшегүл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Жебіршөп, тік тұратын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мыңжапырақ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шөбі, гүлі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құлмақ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сүйел шөп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Үштармақ итошаған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Қымыздық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Қырықбуын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Қылша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шөбі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47"/>
        <w:gridCol w:w="1998"/>
        <w:gridCol w:w="2589"/>
        <w:gridCol w:w="2445"/>
        <w:gridCol w:w="2162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Жабайы өсетін жеміс, жаңғақ, саңырауқұлақ және жидектерді дайындау және жинау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Долана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Ұшқат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шәңгіш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Шырғанақ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Шетен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Мойыл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витаминді итмұрын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витаминді итмұрын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Балқарағай жаңғағы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бүршігі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Саңырауқұлақтар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жемісі сағағы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Құлпынай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жидегі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Таңқурай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жидегі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Қарақат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жидегі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жидек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жидегі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433"/>
        <w:gridCol w:w="4193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Шөп шабу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 ставкасы, теңгемен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Шабындықтар: Өнімділігі гектарына  5 центнерге дейін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 гектарына 5 центнерден 8 центнерге дейін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 гектарына 8 центнерден және одан да жоғары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433"/>
        <w:gridCol w:w="4193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4. Мал жаю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 алқаптары: Сапасы жақсы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Сапасы орта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Сапасы нашар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3413"/>
        <w:gridCol w:w="4153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5. Балұясы мен омарталарды орналастыру &lt;*&gt; </w:t>
            </w:r>
          </w:p>
        </w:tc>
      </w:tr>
      <w:tr>
        <w:trPr>
          <w:trHeight w:val="9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қысқа мерзімді пайдалану кезінде балұяны орналастыру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кв.м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9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ұзақ мерзімді пайдалану кезінде омарталарды орналастыру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5-тарау жаңа редакцияда - ШҚО мәслихатының 2005 жылғы 18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13/196-III 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3293"/>
        <w:gridCol w:w="3833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Марал шаруашылығы </w:t>
            </w:r>
          </w:p>
        </w:tc>
      </w:tr>
      <w:tr>
        <w:trPr>
          <w:trHeight w:val="9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 шаруашылығы (жылына)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7. Аң шаруашылығы </w:t>
            </w:r>
          </w:p>
        </w:tc>
      </w:tr>
      <w:tr>
        <w:trPr>
          <w:trHeight w:val="9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шаруашылығы (жылына)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8. Көкөніс, бақша және басқа да ауыл шаруашылығы дақылдарын өсіру </w:t>
            </w:r>
          </w:p>
        </w:tc>
      </w:tr>
      <w:tr>
        <w:trPr>
          <w:trHeight w:val="9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Көкөніс, бақша және басқа да ауыл шаруашылығы дақылдарын өсіру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Ескертпе: 1. Шөп шабу учаскелерінің өнімдерді тұтыну пункттерінен алыста орналасуына байланысты белгіленген ставкаларға мынадай коэффициенттер қолданылады: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0"/>
        <w:gridCol w:w="4640"/>
      </w:tblGrid>
      <w:tr>
        <w:trPr>
          <w:trHeight w:val="450" w:hRule="atLeast"/>
        </w:trPr>
        <w:tc>
          <w:tcPr>
            <w:tcW w:w="4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шақырымға дейін </w:t>
            </w:r>
          </w:p>
        </w:tc>
        <w:tc>
          <w:tcPr>
            <w:tcW w:w="46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50" w:hRule="atLeast"/>
        </w:trPr>
        <w:tc>
          <w:tcPr>
            <w:tcW w:w="4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шақырымнан 25 шақырымға дейін </w:t>
            </w:r>
          </w:p>
        </w:tc>
        <w:tc>
          <w:tcPr>
            <w:tcW w:w="46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450" w:hRule="atLeast"/>
        </w:trPr>
        <w:tc>
          <w:tcPr>
            <w:tcW w:w="4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шақырымнан 40 шақырымға дейін </w:t>
            </w:r>
          </w:p>
        </w:tc>
        <w:tc>
          <w:tcPr>
            <w:tcW w:w="46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4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 шақырымнан 60 шақырымға дейін </w:t>
            </w:r>
          </w:p>
        </w:tc>
        <w:tc>
          <w:tcPr>
            <w:tcW w:w="46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450" w:hRule="atLeast"/>
        </w:trPr>
        <w:tc>
          <w:tcPr>
            <w:tcW w:w="4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60,1 шақырымнан 80 шақырымға дейін </w:t>
            </w:r>
          </w:p>
        </w:tc>
        <w:tc>
          <w:tcPr>
            <w:tcW w:w="46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450" w:hRule="atLeast"/>
        </w:trPr>
        <w:tc>
          <w:tcPr>
            <w:tcW w:w="4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шақырымнан жоғары </w:t>
            </w:r>
          </w:p>
        </w:tc>
        <w:tc>
          <w:tcPr>
            <w:tcW w:w="46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Қол шалғымен шабылатын және шабындықтың 20 пайыздан астамын бұта алып жатқан учаскелерден шөп шабу учаскелерін пайдалану үшін алынатын ақы 20 пайызға дейін төмендетіледі.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 N 9/118-III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орман қорының учаскелерін мәдени-сауықтыру,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рекреациялық, туристік және спорттық мақсаттар үшін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арналған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73"/>
        <w:gridCol w:w="3573"/>
        <w:gridCol w:w="369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Бірлігі үшін теңгедей ақы ставкасы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қысқа мерзімге пайдалану кезінде 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текше метр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ұзақ мерзімге пайдалану кезінде 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 (жылына)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 N 9/118-III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орман қорының учаскелерін аңшылық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шаруашылығының қажеттері үшін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553"/>
        <w:gridCol w:w="2053"/>
        <w:gridCol w:w="351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Теңгедей ақы ставкасы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қорының учаскелерін аңшылық шаруашылығының қажеттері үшін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22»желтоқсан N 9/118-III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орман қорының учаскелерін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ғылыми-зерттеу мақсаттары үшін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773"/>
        <w:gridCol w:w="2133"/>
        <w:gridCol w:w="329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Теңгедей ақы ставкасы, бірлігі үшін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мақсаттары үшін мемлекеттік орман қорының учаскелерін пайдалану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