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786" w14:textId="4dfd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2547 тіркелген,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75 қаулысы. Қазақстан Республикасы Әділет министрлігінде 2004 жылғы 14 сәуірде тіркелді. Тіркеу N 2805. Күші жойылды - Қазақстан Республикасы Қаржы нарығын және қаржы ұйымдарын реттеу мен қадағалау агенттігі Басқармасының 2008 жылғы 2 қазандағы N 141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төлемдеріне кепілдік беру қоры туралы" Қазақстан Республикасының 2003 жылғы 3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 қазандағы N 141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Әділет министрлігінде N 2547 тіркелген,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өзгерістер мен толықтырулар енгізу туралы" Қазақстан Республикасының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2805 тіркелген, Қазақстан Республикасы орталық атқарушы және өзге де мемлекеттік органдарының нормативтік құқықтық актілер Бюллетенінде жарияланған, 2004 жыл, N 37-40, 1007 бет).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төлемдеріне кепілдік беру мәселелерін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2547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20 қазанда - 2 қарашада жарияланған)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ереженің:
</w:t>
      </w:r>
      <w:r>
        <w:br/>
      </w:r>
      <w:r>
        <w:rPr>
          <w:rFonts w:ascii="Times New Roman"/>
          <w:b w:val="false"/>
          <w:i w:val="false"/>
          <w:color w:val="000000"/>
          <w:sz w:val="28"/>
        </w:rPr>
        <w:t>
      4 және 5-тармақтары мынадай редакцияда жазылсын:
</w:t>
      </w:r>
      <w:r>
        <w:br/>
      </w:r>
      <w:r>
        <w:rPr>
          <w:rFonts w:ascii="Times New Roman"/>
          <w:b w:val="false"/>
          <w:i w:val="false"/>
          <w:color w:val="000000"/>
          <w:sz w:val="28"/>
        </w:rPr>
        <w:t>
      "4. Сақтандыру ұйымдары - қатысушылар қаржы жылы аяқталғаннан кейін 30 күнтізбелік күн ішінде Қорға жасалған сақтандыру шарттарының саны, міндетті сақтандырудың әрбір түрі бойынша өткен қаржы жылы үшін сақтандыру сыйлықақылары мен сақтандыру төлемдерінің есептелген жалпы сомасы туралы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Ереженің 4-тармағында көзделген ақпаратты алғаннан кейін Қор 30 күнтізбелік күн ішінде міндетті жарна ставкасын есептеп, бекітеді және оны сақтандыру ұйымдары - қатысушылардың назарына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жалған (толық емес) ақпарат беру фактілері анықталған жағдайда, Қор міндетті жарна ставкасына түзету жасайды. Мұндайда, міндетті жарна ставкасы азайған жағдайда, Қор сақтандыру ұйымдары - қатысушылар артық төлеген сомаларды ағымдағы қаржы жылы үшін олардың болашақ жарналарды төлеу есебіне есептейді. Міндетті жарна ставкасы ұлғайған жағдайда, сақтандыру ұйымдары - қатысушылар Қорға осы Ереженің 7-тармағында көзделген мерзімде толық есептелген сомаларды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"сақтандыру сыйлықақыларының" деген сөздерден кейін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Қор осы Ереженің 4-тармағында көзделген ақпаратты барлық сақтандыру ұйымдарынан - қатысушылардан алған сәттен бастап 30 күнтізбелік күн ішінде шартты міндеттемелер ставкасын есептеп, бекітеді және оны сақтандыру ұйымдары - қатысушылардың назарына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жалған (толық емес) ақпарат берген фактілер анықталған жағдайда, Қор шартты міндеттемелер ставкасына түзету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"сақтандыру сыйлықақыларының" деген сөздерден кейін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Шартты міндеттемелердің есептелген сомасы сақтандыру ұйымының - қатысушының қаржылық есебінде Қазақстан Республикасының бухгалтерлік есеп және қаржылық есеп беру туралы заңдарының талаптарына сәйкес ескеріледі және тоқсан сайын, есепті тоқсаннан кейінгі айдың бірінші күнінің жағдайы бойынша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"сақтандыру сыйлықақыларының" деген сөздерден кейін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Республикасының Ұлттық Банкіне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