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1a0" w14:textId="a9da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N 14/3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шешімі. 2002 жылғы 19 сәуірдегі N 17/4. Солтүстік Қазақстан облысының Әділет басқармасында 2002 жылғы 23 мамырда N 642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Республикасының 1999 жылғы 1 cәуiрдегi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7 желтоқсандағы N 261 соңғы енгiзiлген өзгерiстер мен толықтыруларды ескере отырып, "Қазақстан Республикасындағы жергiлiктi мемлекеттiк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 ақпандағы облыстық мәслихаттың N 15/1,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N 16/1,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27 наурыздағы облыстық мәслихаттың N 16/2-а шешiмдерiмен ондағы нақтыландыруды ескере отырып, "2002 жылға арналған облыстық бюджет туралы" облыстық мәслихаттың 2001 жылғы 22 желтоқсандағы N 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"9833584" саны "9839322"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"8933584" саны "8939322" санына ауыстырылсын;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"4697676" саны "4776500"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"394964" саны "394027"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"268083" саны "265026"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"283986" саны "284334"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"345259" саны "344219"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"352974" саны "350659"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"374819" саны "388072"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"390305" саны "388558"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"206547" саны "204406"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"523665" саны "523115"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"196898" саны "195858"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"290511" саны "286783"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"414902" саны "413294"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"273886" саны "272278"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Нұсқалған шешiмнiң 1, 2, 3 қосымшалары жаңа редакцияда баяндалсын (қоса берiледi).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шешiм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cессиясының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1 қосымша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облысының бюджетi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9 469 127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3 234 252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3 227 236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2 212 301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2 212 301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өзде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және кредит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5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9 839 322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9 839 322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251 819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158 099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366 855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366 855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жеткізіп беру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қаржландырылатын iшкi iстер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обьектiлерiне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821 955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обьектілеріне күрделі жөндеу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442 368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360 380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алынған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2 қосымша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8 364 508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8 364 508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389 036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817 635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 резервi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3 қосымша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1 474 814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574 814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мекемелерінің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обьектілеріне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обьектiлерiне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обьектілеріне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обьектiлерiн салу және күрделi жөндеу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