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998" w14:textId="c78d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"Облигациялар шығарылымын тiркеу және өтеу тәртiбi туралы" ереженi бекiту туралы" Қазақстан Республикасының Бағалы қағаздар жөнiндегі ұлттық комиссиясының 1996 жылғы 20 желтоқсандағы N 156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2001 жылғы 11 қаңтардағы N 98 қаулысы. Қазақстан Республикасы Әділет министрлігінде 2001 жылғы 7 ақпанда тіркелді. Тіркеу N 1394. Күші жойылды - Қазақстан Республикасының Ұлттық Банкі Басқармасының 2003 жылғы 27 қазандағы N 385 (V032591)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Ұйымдасқан бағалы қағаздар рыногында облигацияларды орналастыру және айналысының рәсiмiн оңтайландыру мақсатында "Бағалы қағаздар рыногы туралы" Қазақстан Республикасының 1997 жылғы 05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10-бабы екiншi азатжолының, "Акционерлiк қоғамдар туралы" Қазақстан Республикасының 1998 жылғы 10 шiлдедегi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33-бабы 2-тармағының және Қазақстан Республикасы Президентiнiң 1997 жылғы 13 қарашадағы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Республикасының Бағалы қағаздар жөнiндегі ұлттық комиссиясы туралы ереженiң 4-тармағы 3),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және 22) тармақшаларының негізiнде Қазақстан Республикасының Бағалы қағаздар жөнiндегi ұлттық комиссиясы (бұдан әрi "Ұлттық комиссия" деп аталады)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"Облигациялар шығарылымын тiркеу және өтеу тәртiбi туралы" ереженi бекiту туралы" Қазақстан Республикасының Бағалы қағаздар жөнiндегі ұлттық комиссиясының 1996 жылғы 20 желтоқсандағы N 156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бекiтiлген және Қазақстан Республикасының Әдiлет министрлiгiнде 1997 жылғы 28 ақпанда 263 нөмiрмен тiркелген Облигациялар шығарылымын тiркеу және өтеу тәртiбi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Республикасындағы бағалы қағаздар рыногы жөнiндегi нормативтiк құқықтық актiлер жинағы, 1997 ж., 92-100-беттер; "Рынок и право". "Рынок ценных бумаг Казахстана" журналына қосымша, 2000 ж, N 5(10), 12-бет):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1а қосымша мынадай мазмұндағы 7-1 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Егер эмитент ұйымдасқан бағалы қағаздар рыногында облигацияларды орналастыруды және/немесе айналысын жобаланған жағдайда - сауда-саттық ұйымдастырушының осы облигацияларды осы сауда-саттық ұйымдастырушының сауда жүйесiндегi айналысқа рұқсат етiлген бағалы қағаздардың ресми тiзiмiне енгiзу мүмкiндiгi туралы қорытындысы (листингтiң осы облигациялар сәйкес келетiн санатын көрсетумен).";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қосымшаның 17-тармағы мынадай мазмұндағы д-1) тармақшамен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"д-1) эмитенттiң облигацияларды листингтiң осы облигациялар сәйкес келетiн санатын көрсете отырып сауда-саттық ұйымдастырушының сауда жүйесiндегi айналысқа рұқсат етiлген бағалы қағаздардың ресми тiзiмiне енгiзу бастамасы жөнiндегі ниетi туралы мәлiмет;".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министрлігінде тіркелген күнінен бастап күшіне енетіндігі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Корпоративтік қаржылар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күшіне енгізілгеннен кейін) мемлекеттік емес облигациялар эмитенттерінің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(ол күшіне енгізілгеннен кейін) мемлекеттік емес облигациялар шығаруға ниет білдірген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
</w:t>
      </w:r>
      <w:r>
        <w:rPr>
          <w:rFonts w:ascii="Times New Roman"/>
          <w:b w:val="false"/>
          <w:i/>
          <w:color w:val="000000"/>
          <w:sz w:val="28"/>
        </w:rPr>
        <w:t>
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