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afa6" w14:textId="e78a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бақылау және қадағалау функцияларын реттеу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7 қыркүйек N 205.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бақылау және қадағалау функцияларын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қамтамасыз ету мақсатында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бақылау және қадағалау функцияларын тек мемлекеттік органдар ғана жүзеге асырады деп белгіленсін.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орган мәртебесі жоқ мемлекеттік кәсіпорындар мен басқа да ұйымдарға мемлекеттік бақылау және қадағалау функцияларын беруге тыйым салынсын.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Үкіметі, орталық және өзге де мемлекеттік органдар екі апта мерзімде: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бұрын қабылданған нормативтік құқықтық актілерін осы Жарлыққа сәйкес келтірсін;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ведомостволық тұрғыдан мемлекеттік органдарға қарасты заңды тұлғалардың құрылтай құжаттарын осы заңды тұлғаларға мемлекеттік бақылау және қадағалау функцияларын жүзеге асыру құқығын беруді көздейтін ережелерін алып тастау тұрғысында қайта қарауды қамтамасыз етсін;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бақылау және қадағалау функцияларын тек мемлекеттік органдардың жүзеге асыруы мүмкіндігін;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лауазымды тұлғаларының мемлекеттік бақылау және қадағалау функцияларын мемлекеттік орган мәртебесі жоқ ұйымдарға бергені үшін заң жүзіндегі жауапкершілігін көздейтін заң жобаларын әзірлеп, Қазақстан Республикасы Парламентінің қарауына енгізсін.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Осы Жарлықтың қолданысы "Қазақстан Республикасының әуе кеңістігін пайдалану және авиация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ерекшеліктерді ескере отырып, азаматтық және эксперименттік авиация қызметін мемлекеттік бақылау мен қадағалауды жүзеге асыруға қолданылмайды.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Жарлық 3-1-тармақпен толықтырылды - ҚР Президентінің 09.10.2019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Жарлықтың орындалуын бақылау Қазақстан Республикасы Президентінің Әкімшілігіне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