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e4f2" w14:textId="94ee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жарғыларын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1998 жылғы 27 қарашадағы N 4156 Жарлығы. Күші жойылды - Қазақстан Республикасы Президентінің 2007 жылғы 5 шілдедегі N 364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Президентінің 2007 жылғы 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қорғанысы мен Қарулы Күштері туралы" Қазақстан Республикасының 1993 жылғы 9 сәуірдегі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Жоғарғы Кеңесінің Жаршысы, 1993 ж., N 8, 202-құжат) 12-бабына сәйкес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Республикасының Қарулы Күштері ішкі қызметінің жарғысы; 
</w:t>
      </w:r>
      <w:r>
        <w:br/>
      </w:r>
      <w:r>
        <w:rPr>
          <w:rFonts w:ascii="Times New Roman"/>
          <w:b w:val="false"/>
          <w:i w:val="false"/>
          <w:color w:val="000000"/>
          <w:sz w:val="28"/>
        </w:rPr>
        <w:t>
      2) Қазақстан Республикасы Қарулы Күштерінің гарнизондық және қарауыл қызметтерінің жарғысы; 
</w:t>
      </w:r>
      <w:r>
        <w:br/>
      </w:r>
      <w:r>
        <w:rPr>
          <w:rFonts w:ascii="Times New Roman"/>
          <w:b w:val="false"/>
          <w:i w:val="false"/>
          <w:color w:val="000000"/>
          <w:sz w:val="28"/>
        </w:rPr>
        <w:t>
      3)Қазақстан Республикасы Қарулы Күштерінің саптық жарғысы; 
</w:t>
      </w:r>
      <w:r>
        <w:br/>
      </w:r>
      <w:r>
        <w:rPr>
          <w:rFonts w:ascii="Times New Roman"/>
          <w:b w:val="false"/>
          <w:i w:val="false"/>
          <w:color w:val="000000"/>
          <w:sz w:val="28"/>
        </w:rPr>
        <w:t>
      4) Қазақстан Республикасы Қарулы Күштерінің тәртіптік жарғысы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министрлігі, Ішкі істер министрлігі, Ұлттық қауіпсіздік комитеті, Республикалық ұланы, Қазақстан Республикасының Төтенше жағдайлар жөніндегі комитеті Қазақстан Республикасының әскерлері мен әскери құралымдарының күнделікті қызметін жоспарлау және ұйымдастыру кезінде Қазақстан Республикасы Қарулы Күштерінің жарғыларын басшылыққа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Қосымша жарғылардың мемлекеттік тілдегі мәтіні болмағандықтан орыс тіліндегі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