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34dc" w14:textId="cbf3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орнынан түсуi туралы</w:t>
      </w:r>
    </w:p>
    <w:p>
      <w:pPr>
        <w:spacing w:after="0"/>
        <w:ind w:left="0"/>
        <w:jc w:val="both"/>
      </w:pPr>
      <w:r>
        <w:rPr>
          <w:rFonts w:ascii="Times New Roman"/>
          <w:b w:val="false"/>
          <w:i w:val="false"/>
          <w:color w:val="000000"/>
          <w:sz w:val="28"/>
        </w:rPr>
        <w:t>Қазақстан Республикасы Президентiнiң Жарлығы 1995 жылғы 11 наурыздағы N 2078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орнынан түсуi
туралы өтiнiшiн қарай келiп, Қазақстан Республикасы Конституциялық
Сотының 1995 жылғы 6 наурыздағы қаулысын еске алып,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85-бабына және "Қазақстан 
Республикасының Министрлер Кабинетi туралы" Қазақстан Республикасы
Заңының 14-бабына сәйкес қаулы етемiн:
</w:t>
      </w:r>
      <w:r>
        <w:br/>
      </w:r>
      <w:r>
        <w:rPr>
          <w:rFonts w:ascii="Times New Roman"/>
          <w:b w:val="false"/>
          <w:i w:val="false"/>
          <w:color w:val="000000"/>
          <w:sz w:val="28"/>
        </w:rPr>
        <w:t>
          1. Қазақстан Республикасы Министрлер Кабинетiнiң орнынан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түсуi қабылдансын.
     2. Қазақстан Республикасы Министрлер Кабинетiнiң жаңа
құрамы анықталғанға дейiн Қазақстан Республикасының Үкiметi өз
мiндеттерiн атқаруды жалғастыратын болсын.
     3.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